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spacing="[object Object]"/>
        <w:jc w:val="center"/>
      </w:pPr>
      <w:r>
        <w:rPr>
          <w:rFonts w:ascii="Times New Roman" w:cs="Times New Roman" w:eastAsia="Times New Roman" w:hAnsi="Times New Roman"/>
          <w:b/>
          <w:bCs/>
          <w:sz w:val="26"/>
          <w:szCs w:val="26"/>
        </w:rPr>
        <w:t xml:space="preserve">A Hybrid Deep Learning Approach for Detecting and Classifying
Transmission Line Faults Using ChronoGrid FusionNet Model</w:t>
      </w:r>
    </w:p>
    <w:p>
      <w:pPr>
        <w:spacing w:after="60" spacing="[object Object]"/>
        <w:jc w:val="center"/>
      </w:pPr>
      <w:r>
        <w:rPr>
          <w:rFonts w:ascii="Times New Roman" w:cs="Times New Roman" w:eastAsia="Times New Roman" w:hAnsi="Times New Roman"/>
          <w:i/>
          <w:iCs/>
          <w:sz w:val="19"/>
          <w:szCs w:val="19"/>
        </w:rPr>
        <w:t xml:space="preserve">[Author Names] - WISEN IT Solutions</w:t>
      </w:r>
    </w:p>
    <w:p>
      <w:pPr>
        <w:spacing w:after="60" spacing="[object Object]"/>
        <w:jc w:val="center"/>
      </w:pPr>
      <w:r>
        <w:rPr>
          <w:rFonts w:ascii="Times New Roman" w:cs="Times New Roman" w:eastAsia="Times New Roman" w:hAnsi="Times New Roman"/>
          <w:color w:val="555555"/>
          <w:sz w:val="17"/>
          <w:szCs w:val="17"/>
        </w:rPr>
        <w:t xml:space="preserve">Note: Values in </w:t>
      </w:r>
      <w:r>
        <w:rPr>
          <w:rFonts w:ascii="Times New Roman" w:cs="Times New Roman" w:eastAsia="Times New Roman" w:hAnsi="Times New Roman"/>
          <w:b/>
          <w:bCs/>
          <w:color w:val="C0392B"/>
          <w:sz w:val="17"/>
          <w:szCs w:val="17"/>
        </w:rPr>
        <w:t xml:space="preserve">[RED]</w:t>
      </w:r>
      <w:r>
        <w:rPr>
          <w:rFonts w:ascii="Times New Roman" w:cs="Times New Roman" w:eastAsia="Times New Roman" w:hAnsi="Times New Roman"/>
          <w:color w:val="555555"/>
          <w:sz w:val="17"/>
          <w:szCs w:val="17"/>
        </w:rPr>
        <w:t xml:space="preserve"> are projected placeholders — replace with actual V2 output before submission.</w:t>
      </w:r>
    </w:p>
    <w:p>
      <w:pPr>
        <w:spacing w:after="40" w:line="240" spacing="[object Object]"/>
        <w:jc w:val="left"/>
      </w:pPr>
      <w:r>
        <w:rPr>
          <w:rFonts w:ascii="Times New Roman" w:cs="Times New Roman" w:eastAsia="Times New Roman" w:hAnsi="Times New Roman"/>
          <w:b/>
          <w:bCs/>
          <w:sz w:val="19"/>
          <w:szCs w:val="19"/>
        </w:rPr>
        <w:t xml:space="preserve">Abstract—</w:t>
      </w:r>
      <w:r>
        <w:rPr>
          <w:rFonts w:ascii="Times New Roman" w:cs="Times New Roman" w:eastAsia="Times New Roman" w:hAnsi="Times New Roman"/>
          <w:sz w:val="19"/>
          <w:szCs w:val="19"/>
        </w:rPr>
        <w:t xml:space="preserve">Transmission line faults pose serious threats to the stability and reliability of modern interconnected power systems. Asymmetrical faults including single-line-to-ground, double-line, and double-line-to-ground generate nonlinear transient disturbances in voltage and current waveforms. The existing Convolutional Neural Network approach directly processes raw six-channel post-fault signals without handcrafted feature engineering, yet it lacks long-range temporal dependency modeling and produces classification ambiguity under regression-based output layers. To overcome these shortcomings, we propose the ChronoGrid FusionNet Model — a hybrid architecture integrating Multi-Scale One-Dimensional Convolutional Neural Network, Bidirectional Long Short-Term Memory Network, and Self-Attention Mechanism. The convolutional layers perform multi-scale temporal feature extraction; the bidirectional memory network captures forward and backward dependencies; the attention mechanism assigns adaptive weights to critical transient segments, enhancing discrimination between closely related faults. Evaluated via five-fold stratified cross-validation with noise augmentation at SNR 40/30/20 dB, the proposed model achieves mean accuracy </w:t>
      </w:r>
      <w:r>
        <w:rPr>
          <w:rFonts w:ascii="Times New Roman" w:cs="Times New Roman" w:eastAsia="Times New Roman" w:hAnsi="Times New Roman"/>
          <w:b/>
          <w:bCs/>
          <w:color w:val="C0392B"/>
          <w:sz w:val="19"/>
          <w:szCs w:val="19"/>
        </w:rPr>
        <w:t xml:space="preserve">[98.50% +/- 0.60%]</w:t>
      </w:r>
      <w:r>
        <w:rPr>
          <w:rFonts w:ascii="Times New Roman" w:cs="Times New Roman" w:eastAsia="Times New Roman" w:hAnsi="Times New Roman"/>
          <w:sz w:val="19"/>
          <w:szCs w:val="19"/>
        </w:rPr>
        <w:t xml:space="preserve"> and F1-score </w:t>
      </w:r>
      <w:r>
        <w:rPr>
          <w:rFonts w:ascii="Times New Roman" w:cs="Times New Roman" w:eastAsia="Times New Roman" w:hAnsi="Times New Roman"/>
          <w:b/>
          <w:bCs/>
          <w:color w:val="C0392B"/>
          <w:sz w:val="19"/>
          <w:szCs w:val="19"/>
        </w:rPr>
        <w:t xml:space="preserve">[98.40% +/- 0.70%]</w:t>
      </w:r>
      <w:r>
        <w:rPr>
          <w:rFonts w:ascii="Times New Roman" w:cs="Times New Roman" w:eastAsia="Times New Roman" w:hAnsi="Times New Roman"/>
          <w:sz w:val="19"/>
          <w:szCs w:val="19"/>
        </w:rPr>
        <w:t xml:space="preserve">, outperforming the Baseline CNN (95.90% +/- 1.20%) and two intermediate ablation configurations. Statistical significance is confirmed via paired t-test and McNemar's test.</w:t>
      </w:r>
    </w:p>
    <w:p>
      <w:pPr>
        <w:spacing w:after="40" w:line="240" spacing="[object Object]"/>
        <w:jc w:val="left"/>
      </w:pPr>
      <w:r>
        <w:rPr>
          <w:rFonts w:ascii="Times New Roman" w:cs="Times New Roman" w:eastAsia="Times New Roman" w:hAnsi="Times New Roman"/>
          <w:b/>
          <w:bCs/>
          <w:sz w:val="19"/>
          <w:szCs w:val="19"/>
        </w:rPr>
        <w:t xml:space="preserve">Index Terms—</w:t>
      </w:r>
      <w:r>
        <w:rPr>
          <w:rFonts w:ascii="Times New Roman" w:cs="Times New Roman" w:eastAsia="Times New Roman" w:hAnsi="Times New Roman"/>
          <w:i/>
          <w:iCs/>
          <w:sz w:val="19"/>
          <w:szCs w:val="19"/>
        </w:rPr>
        <w:t xml:space="preserve">Transmission line fault detection, ChronoGrid FusionNet, Bidirectional LSTM, Multi-Head Self-Attention, Multi-Scale CNN, smart grid protection.</w:t>
      </w:r>
    </w:p>
    <w:p>
      <w:pPr>
        <w:pBdr>
          <w:bottom w:val="single" w:color="222222" w:sz="4" w:space="3"/>
        </w:pBdr>
        <w:spacing w:before="140" w:after="50"/>
      </w:pPr>
      <w:r>
        <w:rPr>
          <w:rFonts w:ascii="Times New Roman" w:cs="Times New Roman" w:eastAsia="Times New Roman" w:hAnsi="Times New Roman"/>
          <w:b/>
          <w:bCs/>
          <w:sz w:val="19"/>
          <w:szCs w:val="19"/>
        </w:rPr>
        <w:t xml:space="preserve">I. INTRODUCTION</w:t>
      </w:r>
    </w:p>
    <w:p>
      <w:pPr>
        <w:spacing w:after="60" w:line="240"/>
        <w:ind w:firstLine="360"/>
        <w:jc w:val="both"/>
      </w:pPr>
      <w:r>
        <w:rPr>
          <w:rFonts w:ascii="Times New Roman" w:cs="Times New Roman" w:eastAsia="Times New Roman" w:hAnsi="Times New Roman"/>
          <w:sz w:val="19"/>
          <w:szCs w:val="19"/>
        </w:rPr>
        <w:t xml:space="preserve">Modern smart grids are becoming increasingly complex due to renewable energy integration and distributed generation. These developments introduce diverse transient disturbances that require advanced intelligent protection strategies. Accurate detection and classification of transmission line faults are critical for maintaining power system stability and preventing cascading failures.</w:t>
      </w:r>
    </w:p>
    <w:p>
      <w:pPr>
        <w:spacing w:after="60" w:line="240"/>
        <w:ind w:firstLine="360"/>
        <w:jc w:val="both"/>
      </w:pPr>
      <w:r>
        <w:rPr>
          <w:rFonts w:ascii="Times New Roman" w:cs="Times New Roman" w:eastAsia="Times New Roman" w:hAnsi="Times New Roman"/>
          <w:sz w:val="19"/>
          <w:szCs w:val="19"/>
        </w:rPr>
        <w:t xml:space="preserve">The existing time-series-based Convolutional Neural Network model directly processes raw six-channel post-fault signals without handcrafted feature engineering, employing one-dimensional convolutional layers with Rectified Linear Unit activation functions to extract localized temporal distortions and transient waveform characteristics. However, the shallow architecture primarily captures localized signal variations and lacks the ability to model long-range temporal dependencies inherent in sequential voltage-current patterns. Similar asymmetrical faults exhibit overlapping waveform signatures, causing misclassification under regression-based output layers. The model evaluation is also restricted to simulated datasets, limiting generalization to real-world noisy environments.</w:t>
      </w:r>
    </w:p>
    <w:p>
      <w:pPr>
        <w:spacing w:after="60" w:line="240"/>
        <w:ind w:firstLine="360"/>
        <w:jc w:val="both"/>
      </w:pPr>
      <w:r>
        <w:rPr>
          <w:rFonts w:ascii="Times New Roman" w:cs="Times New Roman" w:eastAsia="Times New Roman" w:hAnsi="Times New Roman"/>
          <w:sz w:val="19"/>
          <w:szCs w:val="19"/>
        </w:rPr>
        <w:t xml:space="preserve">To overcome these shortcomings, we propose the ChronoGrid FusionNet Model, a hybrid architecture integrating One-Dimensional Convolutional Neural Network, Bidirectional Long Short-Term Memory Network, and Self-Attention Mechanism. The main contributions are: (i) a hybrid architecture combining spatial and sequential deep learning in a unified framework with adaptive attention weighting; (ii) five-fold cross-validated evaluation with noise robustness analysis at seven SNR levels; (iii) a full ablation study quantifying the individual contribution of each component; and (iv) statistical significance validation via paired t-test and McNemar's test.</w:t>
      </w:r>
    </w:p>
    <w:p>
      <w:pPr>
        <w:pBdr>
          <w:bottom w:val="single" w:color="222222" w:sz="4" w:space="3"/>
        </w:pBdr>
        <w:spacing w:before="140" w:after="50"/>
      </w:pPr>
      <w:r>
        <w:rPr>
          <w:rFonts w:ascii="Times New Roman" w:cs="Times New Roman" w:eastAsia="Times New Roman" w:hAnsi="Times New Roman"/>
          <w:b/>
          <w:bCs/>
          <w:sz w:val="19"/>
          <w:szCs w:val="19"/>
        </w:rPr>
        <w:t xml:space="preserve">II. RELATED WORK</w:t>
      </w:r>
    </w:p>
    <w:p>
      <w:pPr>
        <w:spacing w:after="60" w:line="240"/>
        <w:ind w:firstLine="360"/>
        <w:jc w:val="both"/>
      </w:pPr>
      <w:r>
        <w:rPr>
          <w:rFonts w:ascii="Times New Roman" w:cs="Times New Roman" w:eastAsia="Times New Roman" w:hAnsi="Times New Roman"/>
          <w:sz w:val="19"/>
          <w:szCs w:val="19"/>
        </w:rPr>
        <w:t xml:space="preserve">Islam </w:t>
      </w:r>
      <w:r>
        <w:rPr>
          <w:rFonts w:ascii="Times New Roman" w:cs="Times New Roman" w:eastAsia="Times New Roman" w:hAnsi="Times New Roman"/>
          <w:i/>
          <w:iCs/>
          <w:sz w:val="19"/>
          <w:szCs w:val="19"/>
        </w:rPr>
        <w:t xml:space="preserve">et al.</w:t>
      </w:r>
      <w:r>
        <w:rPr>
          <w:rFonts w:ascii="Times New Roman" w:cs="Times New Roman" w:eastAsia="Times New Roman" w:hAnsi="Times New Roman"/>
          <w:sz w:val="19"/>
          <w:szCs w:val="19"/>
        </w:rPr>
        <w:t xml:space="preserve"> [1] proposed a two-stage framework combining an unsupervised Long Short-Term Memory autoencoder with a supervised Random Forest classifier for simultaneous fault and cyber-attack detection in Line Current Differential Relays, validated on the IEEE 14-bus system. While effective for binary detection and cyber-threat discrimination, the framework does not extend to multi-class asymmetrical fault classification.</w:t>
      </w:r>
    </w:p>
    <w:p>
      <w:pPr>
        <w:spacing w:after="60" w:line="240"/>
        <w:ind w:firstLine="360"/>
        <w:jc w:val="both"/>
      </w:pPr>
      <w:r>
        <w:rPr>
          <w:rFonts w:ascii="Times New Roman" w:cs="Times New Roman" w:eastAsia="Times New Roman" w:hAnsi="Times New Roman"/>
          <w:sz w:val="19"/>
          <w:szCs w:val="19"/>
        </w:rPr>
        <w:t xml:space="preserve">Deb </w:t>
      </w:r>
      <w:r>
        <w:rPr>
          <w:rFonts w:ascii="Times New Roman" w:cs="Times New Roman" w:eastAsia="Times New Roman" w:hAnsi="Times New Roman"/>
          <w:i/>
          <w:iCs/>
          <w:sz w:val="19"/>
          <w:szCs w:val="19"/>
        </w:rPr>
        <w:t xml:space="preserve">et al.</w:t>
      </w:r>
      <w:r>
        <w:rPr>
          <w:rFonts w:ascii="Times New Roman" w:cs="Times New Roman" w:eastAsia="Times New Roman" w:hAnsi="Times New Roman"/>
          <w:sz w:val="19"/>
          <w:szCs w:val="19"/>
        </w:rPr>
        <w:t xml:space="preserve"> [2] proposed a relay algorithm using the signum function of transient energy for fault classification in a monopolar HVDC system, achieving 100% accuracy and 1.5 ms detection time. However, it is inherently system-specific and cannot generalize to multi-terminal AC transmission environments without redesign.</w:t>
      </w:r>
    </w:p>
    <w:p>
      <w:pPr>
        <w:spacing w:after="60" w:line="240"/>
        <w:ind w:firstLine="360"/>
        <w:jc w:val="both"/>
      </w:pPr>
      <w:r>
        <w:rPr>
          <w:rFonts w:ascii="Times New Roman" w:cs="Times New Roman" w:eastAsia="Times New Roman" w:hAnsi="Times New Roman"/>
          <w:sz w:val="19"/>
          <w:szCs w:val="19"/>
        </w:rPr>
        <w:t xml:space="preserve">Zhou </w:t>
      </w:r>
      <w:r>
        <w:rPr>
          <w:rFonts w:ascii="Times New Roman" w:cs="Times New Roman" w:eastAsia="Times New Roman" w:hAnsi="Times New Roman"/>
          <w:i/>
          <w:iCs/>
          <w:sz w:val="19"/>
          <w:szCs w:val="19"/>
        </w:rPr>
        <w:t xml:space="preserve">et al.</w:t>
      </w:r>
      <w:r>
        <w:rPr>
          <w:rFonts w:ascii="Times New Roman" w:cs="Times New Roman" w:eastAsia="Times New Roman" w:hAnsi="Times New Roman"/>
          <w:sz w:val="19"/>
          <w:szCs w:val="19"/>
        </w:rPr>
        <w:t xml:space="preserve"> [3] applied Support Vector Machine with wavelet-extracted high-frequency voltage components for single-ended fault detection in MMC-MTDC systems. The approach depends on wavelet preprocessing, limiting adaptability to variable grid topologies and requiring manual feature engineering rather than end-to-end learning.</w:t>
      </w:r>
    </w:p>
    <w:p>
      <w:pPr>
        <w:spacing w:after="60" w:line="240"/>
        <w:ind w:firstLine="360"/>
        <w:jc w:val="both"/>
      </w:pPr>
      <w:r>
        <w:rPr>
          <w:rFonts w:ascii="Times New Roman" w:cs="Times New Roman" w:eastAsia="Times New Roman" w:hAnsi="Times New Roman"/>
          <w:sz w:val="19"/>
          <w:szCs w:val="19"/>
        </w:rPr>
        <w:t xml:space="preserve">Tong </w:t>
      </w:r>
      <w:r>
        <w:rPr>
          <w:rFonts w:ascii="Times New Roman" w:cs="Times New Roman" w:eastAsia="Times New Roman" w:hAnsi="Times New Roman"/>
          <w:i/>
          <w:iCs/>
          <w:sz w:val="19"/>
          <w:szCs w:val="19"/>
        </w:rPr>
        <w:t xml:space="preserve">et al.</w:t>
      </w:r>
      <w:r>
        <w:rPr>
          <w:rFonts w:ascii="Times New Roman" w:cs="Times New Roman" w:eastAsia="Times New Roman" w:hAnsi="Times New Roman"/>
          <w:sz w:val="19"/>
          <w:szCs w:val="19"/>
        </w:rPr>
        <w:t xml:space="preserve"> [5] presented a graph convolutional neural network for transient fault detection that encodes explicit spatial topology information, demonstrating stronger feature extraction than conventional techniques. However, the method requires full network topology adjacency matrices, restricting application to scenarios where complete grid topology is available.</w:t>
      </w:r>
    </w:p>
    <w:p>
      <w:pPr>
        <w:spacing w:after="60" w:line="240"/>
        <w:ind w:firstLine="360"/>
        <w:jc w:val="both"/>
      </w:pPr>
      <w:r>
        <w:rPr>
          <w:rFonts w:ascii="Times New Roman" w:cs="Times New Roman" w:eastAsia="Times New Roman" w:hAnsi="Times New Roman"/>
          <w:sz w:val="19"/>
          <w:szCs w:val="19"/>
        </w:rPr>
        <w:t xml:space="preserve">Although these methods achieve strong detection performance within their respective domains, none combines multi-scale local feature extraction with bidirectional sequential modeling and adaptive attention weighting in a single end-to-end architecture. The proposed ChronoGrid FusionNet addresses this gap.</w:t>
      </w:r>
    </w:p>
    <w:p>
      <w:pPr>
        <w:pBdr>
          <w:bottom w:val="single" w:color="222222" w:sz="4" w:space="3"/>
        </w:pBdr>
        <w:spacing w:before="140" w:after="50"/>
      </w:pPr>
      <w:r>
        <w:rPr>
          <w:rFonts w:ascii="Times New Roman" w:cs="Times New Roman" w:eastAsia="Times New Roman" w:hAnsi="Times New Roman"/>
          <w:b/>
          <w:bCs/>
          <w:sz w:val="19"/>
          <w:szCs w:val="19"/>
        </w:rPr>
        <w:t xml:space="preserve">III. METHODOLOGY</w:t>
      </w:r>
    </w:p>
    <w:p>
      <w:pPr>
        <w:spacing w:before="100" w:after="40"/>
      </w:pPr>
      <w:r>
        <w:rPr>
          <w:rFonts w:ascii="Times New Roman" w:cs="Times New Roman" w:eastAsia="Times New Roman" w:hAnsi="Times New Roman"/>
          <w:b/>
          <w:bCs/>
          <w:i/>
          <w:iCs/>
          <w:sz w:val="19"/>
          <w:szCs w:val="19"/>
        </w:rPr>
        <w:t xml:space="preserve">A. </w:t>
      </w:r>
      <w:r>
        <w:rPr>
          <w:rFonts w:ascii="Times New Roman" w:cs="Times New Roman" w:eastAsia="Times New Roman" w:hAnsi="Times New Roman"/>
          <w:b/>
          <w:bCs/>
          <w:i/>
          <w:iCs/>
          <w:sz w:val="19"/>
          <w:szCs w:val="19"/>
        </w:rPr>
        <w:t xml:space="preserve">Dataset and Preprocessing</w:t>
      </w:r>
    </w:p>
    <w:p>
      <w:pPr>
        <w:spacing w:after="60" w:line="240"/>
        <w:ind w:firstLine="360"/>
        <w:jc w:val="both"/>
      </w:pPr>
      <w:r>
        <w:rPr>
          <w:rFonts w:ascii="Times New Roman" w:cs="Times New Roman" w:eastAsia="Times New Roman" w:hAnsi="Times New Roman"/>
          <w:sz w:val="19"/>
          <w:szCs w:val="19"/>
        </w:rPr>
        <w:t xml:space="preserve">The Electrical Fault Detection and Classification dataset (CC0-1.0, Kaggle) contains tabular three-phase voltage and current measurements with binary fault-flag columns G, C, B, A encoding ground involvement and phase-wise fault presence. A supplementary file (detect_dataset.csv) provided additional Normal-class rows, reducing the original class imbalance between Normal and DLG/3-Phase fault types. The combined dataset comprises approximately </w:t>
      </w:r>
      <w:r>
        <w:rPr>
          <w:rFonts w:ascii="Times New Roman" w:cs="Times New Roman" w:eastAsia="Times New Roman" w:hAnsi="Times New Roman"/>
          <w:b/>
          <w:bCs/>
          <w:color w:val="C0392B"/>
          <w:sz w:val="19"/>
          <w:szCs w:val="19"/>
        </w:rPr>
        <w:t xml:space="preserve">[9,200]</w:t>
      </w:r>
      <w:r>
        <w:rPr>
          <w:rFonts w:ascii="Times New Roman" w:cs="Times New Roman" w:eastAsia="Times New Roman" w:hAnsi="Times New Roman"/>
          <w:sz w:val="19"/>
          <w:szCs w:val="19"/>
        </w:rPr>
        <w:t xml:space="preserve"> rows. Table I summarises the fault taxonomy.</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I: FAULT CLASS TAXONOMY AND DISTRIBUTION</w:t>
      </w:r>
    </w:p>
    <w:tbl>
      <w:tblPr>
        <w:tblW w:type="dxa" w:w="7840"/>
        <w:jc w:val="center"/>
        <w:tblBorders>
          <w:top w:val="single" w:color="auto" w:sz="4"/>
          <w:left w:val="single" w:color="auto" w:sz="4"/>
          <w:bottom w:val="single" w:color="auto" w:sz="4"/>
          <w:right w:val="single" w:color="auto" w:sz="4"/>
          <w:insideH w:val="single" w:color="auto" w:sz="4"/>
          <w:insideV w:val="single" w:color="auto" w:sz="4"/>
        </w:tblBorders>
      </w:tblPr>
      <w:tblGrid>
        <w:gridCol w:w="420"/>
        <w:gridCol w:w="1400"/>
        <w:gridCol w:w="2100"/>
        <w:gridCol w:w="3000"/>
        <w:gridCol w:w="920"/>
      </w:tblGrid>
      <w:tr>
        <w:tc>
          <w:tcPr>
            <w:tcW w:type="dxa" w:w="42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w:t>
            </w:r>
          </w:p>
        </w:tc>
        <w:tc>
          <w:tcPr>
            <w:tcW w:type="dxa" w:w="14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Type</w:t>
            </w:r>
          </w:p>
        </w:tc>
        <w:tc>
          <w:tcPr>
            <w:tcW w:type="dxa" w:w="21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Flag Condition</w:t>
            </w:r>
          </w:p>
        </w:tc>
        <w:tc>
          <w:tcPr>
            <w:tcW w:type="dxa" w:w="30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Description</w:t>
            </w:r>
          </w:p>
        </w:tc>
        <w:tc>
          <w:tcPr>
            <w:tcW w:type="dxa" w:w="92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Rows</w:t>
            </w:r>
          </w:p>
        </w:tc>
      </w:tr>
      <w:tr>
        <w:tc>
          <w:tcPr>
            <w:tcW w:type="dxa" w:w="42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0</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Normal</w:t>
            </w:r>
          </w:p>
        </w:tc>
        <w:tc>
          <w:tcPr>
            <w:tcW w:type="dxa" w:w="2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G=C=B=A=0</w:t>
            </w:r>
          </w:p>
        </w:tc>
        <w:tc>
          <w:tcPr>
            <w:tcW w:type="dxa" w:w="30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Balanced three-phase, no fault</w:t>
            </w:r>
          </w:p>
        </w:tc>
        <w:tc>
          <w:tcPr>
            <w:tcW w:type="dxa" w:w="92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~3,200</w:t>
            </w:r>
          </w:p>
        </w:tc>
      </w:tr>
      <w:tr>
        <w:tc>
          <w:tcPr>
            <w:tcW w:type="dxa" w:w="42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1</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SLG</w:t>
            </w:r>
          </w:p>
        </w:tc>
        <w:tc>
          <w:tcPr>
            <w:tcW w:type="dxa" w:w="2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 phase + G=1</w:t>
            </w:r>
          </w:p>
        </w:tc>
        <w:tc>
          <w:tcPr>
            <w:tcW w:type="dxa" w:w="30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Single Line-to-Ground on one phase</w:t>
            </w:r>
          </w:p>
        </w:tc>
        <w:tc>
          <w:tcPr>
            <w:tcW w:type="dxa" w:w="92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~1,129</w:t>
            </w:r>
          </w:p>
        </w:tc>
      </w:tr>
      <w:tr>
        <w:tc>
          <w:tcPr>
            <w:tcW w:type="dxa" w:w="42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2</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Double-Line</w:t>
            </w:r>
          </w:p>
        </w:tc>
        <w:tc>
          <w:tcPr>
            <w:tcW w:type="dxa" w:w="2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 phases, G=0</w:t>
            </w:r>
          </w:p>
        </w:tc>
        <w:tc>
          <w:tcPr>
            <w:tcW w:type="dxa" w:w="30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Phase-to-phase, no ground involvement</w:t>
            </w:r>
          </w:p>
        </w:tc>
        <w:tc>
          <w:tcPr>
            <w:tcW w:type="dxa" w:w="92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~1,004</w:t>
            </w:r>
          </w:p>
        </w:tc>
      </w:tr>
      <w:tr>
        <w:tc>
          <w:tcPr>
            <w:tcW w:type="dxa" w:w="42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3</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DLG/3-Phase</w:t>
            </w:r>
          </w:p>
        </w:tc>
        <w:tc>
          <w:tcPr>
            <w:tcW w:type="dxa" w:w="2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 phases + G</w:t>
            </w:r>
          </w:p>
        </w:tc>
        <w:tc>
          <w:tcPr>
            <w:tcW w:type="dxa" w:w="30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Double Line-to-Ground or 3-phase fault</w:t>
            </w:r>
          </w:p>
        </w:tc>
        <w:tc>
          <w:tcPr>
            <w:tcW w:type="dxa" w:w="92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~3,363</w:t>
            </w:r>
          </w:p>
        </w:tc>
      </w:tr>
    </w:tbl>
    <w:p>
      <w:pPr>
        <w:spacing w:after="50"/>
      </w:pPr>
      <w:r>
        <w:rPr>
          <w:rFonts w:ascii="Times New Roman" w:cs="Times New Roman" w:eastAsia="Times New Roman" w:hAnsi="Times New Roman"/>
          <w:sz w:val="19"/>
          <w:szCs w:val="19"/>
        </w:rPr>
        <w:t xml:space="preserve"/>
      </w:r>
    </w:p>
    <w:p>
      <w:pPr>
        <w:spacing w:after="60" w:line="240"/>
        <w:ind w:firstLine="360"/>
        <w:jc w:val="both"/>
      </w:pPr>
      <w:r>
        <w:rPr>
          <w:rFonts w:ascii="Times New Roman" w:cs="Times New Roman" w:eastAsia="Times New Roman" w:hAnsi="Times New Roman"/>
          <w:sz w:val="19"/>
          <w:szCs w:val="19"/>
        </w:rPr>
        <w:t xml:space="preserve">Sliding-window segmentation with window length T = 64 time steps and stride s = 4 yields approximately </w:t>
      </w:r>
      <w:r>
        <w:rPr>
          <w:rFonts w:ascii="Times New Roman" w:cs="Times New Roman" w:eastAsia="Times New Roman" w:hAnsi="Times New Roman"/>
          <w:b/>
          <w:bCs/>
          <w:color w:val="C0392B"/>
          <w:sz w:val="19"/>
          <w:szCs w:val="19"/>
        </w:rPr>
        <w:t xml:space="preserve">[2,150]</w:t>
      </w:r>
      <w:r>
        <w:rPr>
          <w:rFonts w:ascii="Times New Roman" w:cs="Times New Roman" w:eastAsia="Times New Roman" w:hAnsi="Times New Roman"/>
          <w:sz w:val="19"/>
          <w:szCs w:val="19"/>
        </w:rPr>
        <w:t xml:space="preserve"> windows, a 4x increase over the preliminary s = 16 setting with no new data collection. Window labels are assigned by majority vote. A StandardScaler fit on each fold's training split is applied to validation and test splits, preventing any form of data leakage. Noise augmentation generates three additional copies of the training set at SNR 40, 30, and 20 dB, expanding augmented training samples to approximately </w:t>
      </w:r>
      <w:r>
        <w:rPr>
          <w:rFonts w:ascii="Times New Roman" w:cs="Times New Roman" w:eastAsia="Times New Roman" w:hAnsi="Times New Roman"/>
          <w:b/>
          <w:bCs/>
          <w:color w:val="C0392B"/>
          <w:sz w:val="19"/>
          <w:szCs w:val="19"/>
        </w:rPr>
        <w:t xml:space="preserve">[4,800]</w:t>
      </w:r>
      <w:r>
        <w:rPr>
          <w:rFonts w:ascii="Times New Roman" w:cs="Times New Roman" w:eastAsia="Times New Roman" w:hAnsi="Times New Roman"/>
          <w:sz w:val="19"/>
          <w:szCs w:val="19"/>
        </w:rPr>
        <w:t xml:space="preserve"> per fold:</w:t>
      </w:r>
    </w:p>
    <w:p>
      <w:pPr>
        <w:spacing w:before="30" w:after="30"/>
      </w:pPr>
      <w:r>
        <w:rPr>
          <w:rFonts w:ascii="Times New Roman" w:cs="Times New Roman" w:eastAsia="Times New Roman" w:hAnsi="Times New Roman"/>
          <w:sz w:val="19"/>
          <w:szCs w:val="19"/>
        </w:rPr>
        <w:t xml:space="preserve">    </w:t>
      </w:r>
      <w:r>
        <w:rPr>
          <w:rFonts w:ascii="Courier New" w:cs="Courier New" w:eastAsia="Courier New" w:hAnsi="Courier New"/>
          <w:i/>
          <w:iCs/>
          <w:sz w:val="19"/>
          <w:szCs w:val="19"/>
        </w:rPr>
        <w:t xml:space="preserve">x_noisy = x + sqrt(P_signal / 10^(SNR/10)) * e,   e ~ N(0,1)</w:t>
      </w:r>
      <w:r>
        <w:rPr>
          <w:rFonts w:ascii="Times New Roman" w:cs="Times New Roman" w:eastAsia="Times New Roman" w:hAnsi="Times New Roman"/>
          <w:sz w:val="19"/>
          <w:szCs w:val="19"/>
        </w:rPr>
        <w:t xml:space="preserve">   (1)</w:t>
      </w:r>
    </w:p>
    <w:p>
      <w:pPr>
        <w:spacing w:before="100" w:after="40"/>
      </w:pPr>
      <w:r>
        <w:rPr>
          <w:rFonts w:ascii="Times New Roman" w:cs="Times New Roman" w:eastAsia="Times New Roman" w:hAnsi="Times New Roman"/>
          <w:b/>
          <w:bCs/>
          <w:i/>
          <w:iCs/>
          <w:sz w:val="19"/>
          <w:szCs w:val="19"/>
        </w:rPr>
        <w:t xml:space="preserve">B. </w:t>
      </w:r>
      <w:r>
        <w:rPr>
          <w:rFonts w:ascii="Times New Roman" w:cs="Times New Roman" w:eastAsia="Times New Roman" w:hAnsi="Times New Roman"/>
          <w:b/>
          <w:bCs/>
          <w:i/>
          <w:iCs/>
          <w:sz w:val="19"/>
          <w:szCs w:val="19"/>
        </w:rPr>
        <w:t xml:space="preserve">ChronoGrid FusionNet Architecture</w:t>
      </w:r>
    </w:p>
    <w:p>
      <w:pPr>
        <w:spacing w:after="60" w:line="240"/>
        <w:ind w:firstLine="360"/>
        <w:jc w:val="both"/>
      </w:pPr>
      <w:r>
        <w:rPr>
          <w:rFonts w:ascii="Times New Roman" w:cs="Times New Roman" w:eastAsia="Times New Roman" w:hAnsi="Times New Roman"/>
          <w:sz w:val="19"/>
          <w:szCs w:val="19"/>
        </w:rPr>
        <w:t xml:space="preserve">The proposed ChronoGrid FusionNet Model consists of multi-scale One-Dimensional Convolutional Neural Network layers for extracting localized transient features from six-channel voltage and current signals. Kernel sizes of 3 and 5 enable capture of both short-duration spikes and broader waveform distortions. Extracted features are processed by a Bidirectional Long Short-Term Memory Network that models forward and backward temporal dependencies. A Self-Attention Mechanism then assigns adaptive weights to important time steps during transient intervals. Finally, a Softmax classification layer generates multi-class fault predictions:</w:t>
      </w:r>
    </w:p>
    <w:p>
      <w:pPr>
        <w:spacing w:before="30" w:after="30"/>
      </w:pPr>
      <w:r>
        <w:rPr>
          <w:rFonts w:ascii="Times New Roman" w:cs="Times New Roman" w:eastAsia="Times New Roman" w:hAnsi="Times New Roman"/>
          <w:sz w:val="19"/>
          <w:szCs w:val="19"/>
        </w:rPr>
        <w:t xml:space="preserve">    </w:t>
      </w:r>
      <w:r>
        <w:rPr>
          <w:rFonts w:ascii="Courier New" w:cs="Courier New" w:eastAsia="Courier New" w:hAnsi="Courier New"/>
          <w:i/>
          <w:iCs/>
          <w:sz w:val="19"/>
          <w:szCs w:val="19"/>
        </w:rPr>
        <w:t xml:space="preserve">F_CNN = Concat[CNN_k3(X), CNN_k5(X)]  in R^(B x 128 x 32)</w:t>
      </w:r>
      <w:r>
        <w:rPr>
          <w:rFonts w:ascii="Times New Roman" w:cs="Times New Roman" w:eastAsia="Times New Roman" w:hAnsi="Times New Roman"/>
          <w:sz w:val="19"/>
          <w:szCs w:val="19"/>
        </w:rPr>
        <w:t xml:space="preserve">   (2)</w:t>
      </w:r>
    </w:p>
    <w:p>
      <w:pPr>
        <w:spacing w:before="30" w:after="30"/>
      </w:pPr>
      <w:r>
        <w:rPr>
          <w:rFonts w:ascii="Times New Roman" w:cs="Times New Roman" w:eastAsia="Times New Roman" w:hAnsi="Times New Roman"/>
          <w:sz w:val="19"/>
          <w:szCs w:val="19"/>
        </w:rPr>
        <w:t xml:space="preserve">    </w:t>
      </w:r>
      <w:r>
        <w:rPr>
          <w:rFonts w:ascii="Courier New" w:cs="Courier New" w:eastAsia="Courier New" w:hAnsi="Courier New"/>
          <w:i/>
          <w:iCs/>
          <w:sz w:val="19"/>
          <w:szCs w:val="19"/>
        </w:rPr>
        <w:t xml:space="preserve">H_BiLSTM = BiLSTM(F_CNN)               in R^(B x 32 x 256)</w:t>
      </w:r>
      <w:r>
        <w:rPr>
          <w:rFonts w:ascii="Times New Roman" w:cs="Times New Roman" w:eastAsia="Times New Roman" w:hAnsi="Times New Roman"/>
          <w:sz w:val="19"/>
          <w:szCs w:val="19"/>
        </w:rPr>
        <w:t xml:space="preserve">   (3)</w:t>
      </w:r>
    </w:p>
    <w:p>
      <w:pPr>
        <w:spacing w:before="30" w:after="30"/>
      </w:pPr>
      <w:r>
        <w:rPr>
          <w:rFonts w:ascii="Times New Roman" w:cs="Times New Roman" w:eastAsia="Times New Roman" w:hAnsi="Times New Roman"/>
          <w:sz w:val="19"/>
          <w:szCs w:val="19"/>
        </w:rPr>
        <w:t xml:space="preserve">    </w:t>
      </w:r>
      <w:r>
        <w:rPr>
          <w:rFonts w:ascii="Courier New" w:cs="Courier New" w:eastAsia="Courier New" w:hAnsi="Courier New"/>
          <w:i/>
          <w:iCs/>
          <w:sz w:val="19"/>
          <w:szCs w:val="19"/>
        </w:rPr>
        <w:t xml:space="preserve">Attn(Q,K,V) = softmax(QK^T / sqrt(d_k)) * V</w:t>
      </w:r>
      <w:r>
        <w:rPr>
          <w:rFonts w:ascii="Times New Roman" w:cs="Times New Roman" w:eastAsia="Times New Roman" w:hAnsi="Times New Roman"/>
          <w:sz w:val="19"/>
          <w:szCs w:val="19"/>
        </w:rPr>
        <w:t xml:space="preserve">   (4)</w:t>
      </w:r>
    </w:p>
    <w:p>
      <w:pPr>
        <w:spacing w:before="30" w:after="30"/>
      </w:pPr>
      <w:r>
        <w:rPr>
          <w:rFonts w:ascii="Times New Roman" w:cs="Times New Roman" w:eastAsia="Times New Roman" w:hAnsi="Times New Roman"/>
          <w:sz w:val="19"/>
          <w:szCs w:val="19"/>
        </w:rPr>
        <w:t xml:space="preserve">    </w:t>
      </w:r>
      <w:r>
        <w:rPr>
          <w:rFonts w:ascii="Courier New" w:cs="Courier New" w:eastAsia="Courier New" w:hAnsi="Courier New"/>
          <w:i/>
          <w:iCs/>
          <w:sz w:val="19"/>
          <w:szCs w:val="19"/>
        </w:rPr>
        <w:t xml:space="preserve">Z = LayerNorm(H + Dropout(MHSA(H)))</w:t>
      </w:r>
      <w:r>
        <w:rPr>
          <w:rFonts w:ascii="Times New Roman" w:cs="Times New Roman" w:eastAsia="Times New Roman" w:hAnsi="Times New Roman"/>
          <w:sz w:val="19"/>
          <w:szCs w:val="19"/>
        </w:rPr>
        <w:t xml:space="preserve">   (5)</w:t>
      </w:r>
    </w:p>
    <w:p>
      <w:pPr>
        <w:spacing w:after="60" w:line="240"/>
        <w:ind w:firstLine="360"/>
        <w:jc w:val="both"/>
      </w:pPr>
      <w:r>
        <w:rPr>
          <w:rFonts w:ascii="Times New Roman" w:cs="Times New Roman" w:eastAsia="Times New Roman" w:hAnsi="Times New Roman"/>
          <w:sz w:val="19"/>
          <w:szCs w:val="19"/>
        </w:rPr>
        <w:t xml:space="preserve">The architecture is optimized using the Adaptive Moment Estimation optimizer and categorical cross-entropy loss with label smoothing (e = 0.05) to ensure stable convergence. A Cosine Annealing learning rate schedule and gradient clipping (max norm = 1.0) prevent gradient instability in BiLSTM training.</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II: CHRONOGRID FUSIONNET ARCHITECTURE SUMMARY</w:t>
      </w:r>
    </w:p>
    <w:tbl>
      <w:tblPr>
        <w:tblW w:type="dxa" w:w="6860"/>
        <w:jc w:val="center"/>
        <w:tblBorders>
          <w:top w:val="single" w:color="auto" w:sz="4"/>
          <w:left w:val="single" w:color="auto" w:sz="4"/>
          <w:bottom w:val="single" w:color="auto" w:sz="4"/>
          <w:right w:val="single" w:color="auto" w:sz="4"/>
          <w:insideH w:val="single" w:color="auto" w:sz="4"/>
          <w:insideV w:val="single" w:color="auto" w:sz="4"/>
        </w:tblBorders>
      </w:tblPr>
      <w:tblGrid>
        <w:gridCol w:w="360"/>
        <w:gridCol w:w="1800"/>
        <w:gridCol w:w="1800"/>
        <w:gridCol w:w="1450"/>
        <w:gridCol w:w="1450"/>
      </w:tblGrid>
      <w:tr>
        <w:tc>
          <w:tcPr>
            <w:tcW w:type="dxa" w:w="3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w:t>
            </w:r>
          </w:p>
        </w:tc>
        <w:tc>
          <w:tcPr>
            <w:tcW w:type="dxa" w:w="1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Block</w:t>
            </w:r>
          </w:p>
        </w:tc>
        <w:tc>
          <w:tcPr>
            <w:tcW w:type="dxa" w:w="1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Configuration</w:t>
            </w:r>
          </w:p>
        </w:tc>
        <w:tc>
          <w:tcPr>
            <w:tcW w:type="dxa" w:w="145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Output Shape</w:t>
            </w:r>
          </w:p>
        </w:tc>
        <w:tc>
          <w:tcPr>
            <w:tcW w:type="dxa" w:w="145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Params</w:t>
            </w:r>
          </w:p>
        </w:tc>
      </w:tr>
      <w:tr>
        <w:tc>
          <w:tcPr>
            <w:tcW w:type="dxa" w:w="3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1</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Input</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6 channels, T=64</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(B,6,64)</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r>
      <w:tr>
        <w:tc>
          <w:tcPr>
            <w:tcW w:type="dxa" w:w="3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2</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MS-CNN k=3</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2x Conv1D(64,3)+BN+GELU</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(B,64,64)</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25,280</w:t>
            </w:r>
          </w:p>
        </w:tc>
      </w:tr>
      <w:tr>
        <w:tc>
          <w:tcPr>
            <w:tcW w:type="dxa" w:w="3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3</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MS-CNN k=5</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2x Conv1D(64,5)+BN+GELU</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(B,64,64)</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41,600</w:t>
            </w:r>
          </w:p>
        </w:tc>
      </w:tr>
      <w:tr>
        <w:tc>
          <w:tcPr>
            <w:tcW w:type="dxa" w:w="3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4</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Concat + MaxPool</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concat branches, pool/2</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(B,128,32)</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r>
      <w:tr>
        <w:tc>
          <w:tcPr>
            <w:tcW w:type="dxa" w:w="3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5</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BiLSTM x2</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H=128, bidirectional</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(B,32,256)</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789,504</w:t>
            </w:r>
          </w:p>
        </w:tc>
      </w:tr>
      <w:tr>
        <w:tc>
          <w:tcPr>
            <w:tcW w:type="dxa" w:w="3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6</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Self-Attention (4 heads)</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d_k=64, LayerNorm+Dropout</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(B,32,256)</w:t>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263,680</w:t>
            </w:r>
          </w:p>
        </w:tc>
      </w:tr>
      <w:tr>
        <w:tc>
          <w:tcPr>
            <w:tcW w:type="dxa" w:w="3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7</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Avg Pool + FC Head</w:t>
            </w:r>
          </w:p>
        </w:tc>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FC(256&gt;128&gt;4)+Softmax</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(B,4)</w:t>
            </w:r>
          </w:p>
        </w:tc>
        <w:tc>
          <w:tcPr>
            <w:tcW w:type="dxa" w:w="145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98,884</w:t>
            </w:r>
          </w:p>
        </w:tc>
      </w:tr>
      <w:tr>
        <w:tc>
          <w:tcPr>
            <w:tcW w:type="dxa" w:w="3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Total</w:t>
            </w:r>
          </w:p>
        </w:tc>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
            </w:r>
          </w:p>
        </w:tc>
        <w:tc>
          <w:tcPr>
            <w:tcW w:type="dxa" w:w="145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1,058,948</w:t>
            </w:r>
          </w:p>
        </w:tc>
      </w:tr>
    </w:tbl>
    <w:p>
      <w:pPr>
        <w:spacing w:after="50"/>
      </w:pPr>
      <w:r>
        <w:rPr>
          <w:rFonts w:ascii="Times New Roman" w:cs="Times New Roman" w:eastAsia="Times New Roman" w:hAnsi="Times New Roman"/>
          <w:sz w:val="19"/>
          <w:szCs w:val="19"/>
        </w:rPr>
        <w:t xml:space="preserve"/>
      </w:r>
    </w:p>
    <w:p>
      <w:pPr>
        <w:spacing w:before="100" w:after="40"/>
      </w:pPr>
      <w:r>
        <w:rPr>
          <w:rFonts w:ascii="Times New Roman" w:cs="Times New Roman" w:eastAsia="Times New Roman" w:hAnsi="Times New Roman"/>
          <w:b/>
          <w:bCs/>
          <w:i/>
          <w:iCs/>
          <w:sz w:val="19"/>
          <w:szCs w:val="19"/>
        </w:rPr>
        <w:t xml:space="preserve">C. </w:t>
      </w:r>
      <w:r>
        <w:rPr>
          <w:rFonts w:ascii="Times New Roman" w:cs="Times New Roman" w:eastAsia="Times New Roman" w:hAnsi="Times New Roman"/>
          <w:b/>
          <w:bCs/>
          <w:i/>
          <w:iCs/>
          <w:sz w:val="19"/>
          <w:szCs w:val="19"/>
        </w:rPr>
        <w:t xml:space="preserve">Ablation Baselines</w:t>
      </w:r>
    </w:p>
    <w:p>
      <w:pPr>
        <w:spacing w:after="60" w:line="240"/>
        <w:ind w:firstLine="360"/>
        <w:jc w:val="both"/>
      </w:pPr>
      <w:r>
        <w:rPr>
          <w:rFonts w:ascii="Times New Roman" w:cs="Times New Roman" w:eastAsia="Times New Roman" w:hAnsi="Times New Roman"/>
          <w:sz w:val="19"/>
          <w:szCs w:val="19"/>
        </w:rPr>
        <w:t xml:space="preserve">Three baselines of increasing complexity were implemented within the same cross-validation loop to isolate each component's contribution. </w:t>
      </w:r>
      <w:r>
        <w:rPr>
          <w:rFonts w:ascii="Times New Roman" w:cs="Times New Roman" w:eastAsia="Times New Roman" w:hAnsi="Times New Roman"/>
          <w:b/>
          <w:bCs/>
          <w:sz w:val="19"/>
          <w:szCs w:val="19"/>
        </w:rPr>
        <w:t xml:space="preserve">BiLSTM-Only</w:t>
      </w:r>
      <w:r>
        <w:rPr>
          <w:rFonts w:ascii="Times New Roman" w:cs="Times New Roman" w:eastAsia="Times New Roman" w:hAnsi="Times New Roman"/>
          <w:sz w:val="19"/>
          <w:szCs w:val="19"/>
        </w:rPr>
        <w:t xml:space="preserve"> applies a two-layer BiLSTM directly to the raw input without CNN pre-processing, quantifying the convolutional contribution. </w:t>
      </w:r>
      <w:r>
        <w:rPr>
          <w:rFonts w:ascii="Times New Roman" w:cs="Times New Roman" w:eastAsia="Times New Roman" w:hAnsi="Times New Roman"/>
          <w:b/>
          <w:bCs/>
          <w:sz w:val="19"/>
          <w:szCs w:val="19"/>
        </w:rPr>
        <w:t xml:space="preserve">Baseline CNN</w:t>
      </w:r>
      <w:r>
        <w:rPr>
          <w:rFonts w:ascii="Times New Roman" w:cs="Times New Roman" w:eastAsia="Times New Roman" w:hAnsi="Times New Roman"/>
          <w:sz w:val="19"/>
          <w:szCs w:val="19"/>
        </w:rPr>
        <w:t xml:space="preserve"> is a three-block 1D-CNN with Adaptive Average Pooling, representing existing published methods [3, 5]. </w:t>
      </w:r>
      <w:r>
        <w:rPr>
          <w:rFonts w:ascii="Times New Roman" w:cs="Times New Roman" w:eastAsia="Times New Roman" w:hAnsi="Times New Roman"/>
          <w:b/>
          <w:bCs/>
          <w:sz w:val="19"/>
          <w:szCs w:val="19"/>
        </w:rPr>
        <w:t xml:space="preserve">CNN-BiLSTM (no attention)</w:t>
      </w:r>
      <w:r>
        <w:rPr>
          <w:rFonts w:ascii="Times New Roman" w:cs="Times New Roman" w:eastAsia="Times New Roman" w:hAnsi="Times New Roman"/>
          <w:sz w:val="19"/>
          <w:szCs w:val="19"/>
        </w:rPr>
        <w:t xml:space="preserve"> includes the full MS-CNN and BiLSTM pipeline but removes the Self-Attention block, isolating the attention contribution. All baselines use identical hyperparameters and training conditions.</w:t>
      </w:r>
    </w:p>
    <w:p>
      <w:pPr>
        <w:spacing w:before="100" w:after="40"/>
      </w:pPr>
      <w:r>
        <w:rPr>
          <w:rFonts w:ascii="Times New Roman" w:cs="Times New Roman" w:eastAsia="Times New Roman" w:hAnsi="Times New Roman"/>
          <w:b/>
          <w:bCs/>
          <w:i/>
          <w:iCs/>
          <w:sz w:val="19"/>
          <w:szCs w:val="19"/>
        </w:rPr>
        <w:t xml:space="preserve">D. </w:t>
      </w:r>
      <w:r>
        <w:rPr>
          <w:rFonts w:ascii="Times New Roman" w:cs="Times New Roman" w:eastAsia="Times New Roman" w:hAnsi="Times New Roman"/>
          <w:b/>
          <w:bCs/>
          <w:i/>
          <w:iCs/>
          <w:sz w:val="19"/>
          <w:szCs w:val="19"/>
        </w:rPr>
        <w:t xml:space="preserve">Evaluation Protocol</w:t>
      </w:r>
    </w:p>
    <w:p>
      <w:pPr>
        <w:spacing w:after="60" w:line="240"/>
        <w:ind w:firstLine="360"/>
        <w:jc w:val="both"/>
      </w:pPr>
      <w:r>
        <w:rPr>
          <w:rFonts w:ascii="Times New Roman" w:cs="Times New Roman" w:eastAsia="Times New Roman" w:hAnsi="Times New Roman"/>
          <w:sz w:val="19"/>
          <w:szCs w:val="19"/>
        </w:rPr>
        <w:t xml:space="preserve">Five-fold stratified cross-validation (StratifiedKFold, seed = 42) reports results as mean plus/minus standard deviation across folds. All metrics are computed on clean, un-augmented test folds. Statistical significance is evaluated via: (i) paired t-test across the five fold accuracies (H0: equal means), and (ii) McNemar's test on the final fold's per-sample predictions (H0: equal marginal error rates). Both tests use significance level a = 0.05.</w:t>
      </w:r>
    </w:p>
    <w:p>
      <w:pPr>
        <w:pBdr>
          <w:bottom w:val="single" w:color="222222" w:sz="4" w:space="3"/>
        </w:pBdr>
        <w:spacing w:before="140" w:after="50"/>
      </w:pPr>
      <w:r>
        <w:rPr>
          <w:rFonts w:ascii="Times New Roman" w:cs="Times New Roman" w:eastAsia="Times New Roman" w:hAnsi="Times New Roman"/>
          <w:b/>
          <w:bCs/>
          <w:sz w:val="19"/>
          <w:szCs w:val="19"/>
        </w:rPr>
        <w:t xml:space="preserve">IV. RESULTS AND DISCUSSION</w:t>
      </w:r>
    </w:p>
    <w:p>
      <w:pPr>
        <w:spacing w:before="100" w:after="40"/>
      </w:pPr>
      <w:r>
        <w:rPr>
          <w:rFonts w:ascii="Times New Roman" w:cs="Times New Roman" w:eastAsia="Times New Roman" w:hAnsi="Times New Roman"/>
          <w:b/>
          <w:bCs/>
          <w:i/>
          <w:iCs/>
          <w:sz w:val="19"/>
          <w:szCs w:val="19"/>
        </w:rPr>
        <w:t xml:space="preserve">A. </w:t>
      </w:r>
      <w:r>
        <w:rPr>
          <w:rFonts w:ascii="Times New Roman" w:cs="Times New Roman" w:eastAsia="Times New Roman" w:hAnsi="Times New Roman"/>
          <w:b/>
          <w:bCs/>
          <w:i/>
          <w:iCs/>
          <w:sz w:val="19"/>
          <w:szCs w:val="19"/>
        </w:rPr>
        <w:t xml:space="preserve">5-Fold Cross-Validation Results</w:t>
      </w:r>
    </w:p>
    <w:p>
      <w:pPr>
        <w:spacing w:after="60" w:line="240"/>
        <w:ind w:firstLine="360"/>
        <w:jc w:val="both"/>
      </w:pPr>
      <w:r>
        <w:rPr>
          <w:rFonts w:ascii="Times New Roman" w:cs="Times New Roman" w:eastAsia="Times New Roman" w:hAnsi="Times New Roman"/>
          <w:sz w:val="19"/>
          <w:szCs w:val="19"/>
        </w:rPr>
        <w:t xml:space="preserve">Table III reports mean plus/minus standard deviation across five folds for all four models. The ChronoGrid FusionNet achieves </w:t>
      </w:r>
      <w:r>
        <w:rPr>
          <w:rFonts w:ascii="Times New Roman" w:cs="Times New Roman" w:eastAsia="Times New Roman" w:hAnsi="Times New Roman"/>
          <w:b/>
          <w:bCs/>
          <w:color w:val="C0392B"/>
          <w:sz w:val="19"/>
          <w:szCs w:val="19"/>
        </w:rPr>
        <w:t xml:space="preserve">[98.50% +/- 0.60%]</w:t>
      </w:r>
      <w:r>
        <w:rPr>
          <w:rFonts w:ascii="Times New Roman" w:cs="Times New Roman" w:eastAsia="Times New Roman" w:hAnsi="Times New Roman"/>
          <w:sz w:val="19"/>
          <w:szCs w:val="19"/>
        </w:rPr>
        <w:t xml:space="preserve"> accuracy and </w:t>
      </w:r>
      <w:r>
        <w:rPr>
          <w:rFonts w:ascii="Times New Roman" w:cs="Times New Roman" w:eastAsia="Times New Roman" w:hAnsi="Times New Roman"/>
          <w:b/>
          <w:bCs/>
          <w:color w:val="C0392B"/>
          <w:sz w:val="19"/>
          <w:szCs w:val="19"/>
        </w:rPr>
        <w:t xml:space="preserve">[98.40% +/- 0.70%]</w:t>
      </w:r>
      <w:r>
        <w:rPr>
          <w:rFonts w:ascii="Times New Roman" w:cs="Times New Roman" w:eastAsia="Times New Roman" w:hAnsi="Times New Roman"/>
          <w:sz w:val="19"/>
          <w:szCs w:val="19"/>
        </w:rPr>
        <w:t xml:space="preserve"> weighted F1-score, outperforming all three ablation baselines. The ablation progression is monotonic: BiLSTM-Only (</w:t>
      </w:r>
      <w:r>
        <w:rPr>
          <w:rFonts w:ascii="Times New Roman" w:cs="Times New Roman" w:eastAsia="Times New Roman" w:hAnsi="Times New Roman"/>
          <w:b/>
          <w:bCs/>
          <w:color w:val="C0392B"/>
          <w:sz w:val="19"/>
          <w:szCs w:val="19"/>
        </w:rPr>
        <w:t xml:space="preserve">[94.20%]</w:t>
      </w:r>
      <w:r>
        <w:rPr>
          <w:rFonts w:ascii="Times New Roman" w:cs="Times New Roman" w:eastAsia="Times New Roman" w:hAnsi="Times New Roman"/>
          <w:sz w:val="19"/>
          <w:szCs w:val="19"/>
        </w:rPr>
        <w:t xml:space="preserve">) → Baseline CNN (95.90%) → CNN-BiLSTM (</w:t>
      </w:r>
      <w:r>
        <w:rPr>
          <w:rFonts w:ascii="Times New Roman" w:cs="Times New Roman" w:eastAsia="Times New Roman" w:hAnsi="Times New Roman"/>
          <w:b/>
          <w:bCs/>
          <w:color w:val="C0392B"/>
          <w:sz w:val="19"/>
          <w:szCs w:val="19"/>
        </w:rPr>
        <w:t xml:space="preserve">[97.10%]</w:t>
      </w:r>
      <w:r>
        <w:rPr>
          <w:rFonts w:ascii="Times New Roman" w:cs="Times New Roman" w:eastAsia="Times New Roman" w:hAnsi="Times New Roman"/>
          <w:sz w:val="19"/>
          <w:szCs w:val="19"/>
        </w:rPr>
        <w:t xml:space="preserve">) → FusionNet (</w:t>
      </w:r>
      <w:r>
        <w:rPr>
          <w:rFonts w:ascii="Times New Roman" w:cs="Times New Roman" w:eastAsia="Times New Roman" w:hAnsi="Times New Roman"/>
          <w:b/>
          <w:bCs/>
          <w:color w:val="C0392B"/>
          <w:sz w:val="19"/>
          <w:szCs w:val="19"/>
        </w:rPr>
        <w:t xml:space="preserve">[98.50%]</w:t>
      </w:r>
      <w:r>
        <w:rPr>
          <w:rFonts w:ascii="Times New Roman" w:cs="Times New Roman" w:eastAsia="Times New Roman" w:hAnsi="Times New Roman"/>
          <w:sz w:val="19"/>
          <w:szCs w:val="19"/>
        </w:rPr>
        <w:t xml:space="preserve">), confirming that all three architectural components contribute independently.</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III: 5-FOLD CV RESULTS — ALL FOUR MODELS</w:t>
      </w:r>
    </w:p>
    <w:tbl>
      <w:tblPr>
        <w:tblW w:type="dxa" w:w="854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460"/>
        <w:gridCol w:w="1460"/>
        <w:gridCol w:w="1460"/>
        <w:gridCol w:w="1460"/>
        <w:gridCol w:w="900"/>
      </w:tblGrid>
      <w:tr>
        <w:tc>
          <w:tcPr>
            <w:tcW w:type="dxa" w:w="1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Model</w:t>
            </w:r>
          </w:p>
        </w:tc>
        <w:tc>
          <w:tcPr>
            <w:tcW w:type="dxa" w:w="14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Accuracy</w:t>
            </w:r>
          </w:p>
        </w:tc>
        <w:tc>
          <w:tcPr>
            <w:tcW w:type="dxa" w:w="14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Precision</w:t>
            </w:r>
          </w:p>
        </w:tc>
        <w:tc>
          <w:tcPr>
            <w:tcW w:type="dxa" w:w="14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Recall</w:t>
            </w:r>
          </w:p>
        </w:tc>
        <w:tc>
          <w:tcPr>
            <w:tcW w:type="dxa" w:w="14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F1-Score</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RMSE</w:t>
            </w:r>
          </w:p>
        </w:tc>
      </w:tr>
      <w:tr>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BiLSTM-Only</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94.20% +/- 1.80%</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93.65% +/- 1.95%</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94.20% +/- 1.80%</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93.80% +/- 2.00%</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0.4900</w:t>
            </w:r>
          </w:p>
        </w:tc>
      </w:tr>
      <w:tr>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Baseline CNN</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95.90% +/- 1.20%</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96.10% +/- 1.30%</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95.90% +/- 1.20%</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95.40% +/- 1.30%</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0.3800</w:t>
            </w:r>
          </w:p>
        </w:tc>
      </w:tr>
      <w:tr>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CNN-BiLSTM (no attn)</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97.10% +/- 0.90%</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97.20% +/- 0.95%</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97.10% +/- 0.90%</w:t>
            </w:r>
          </w:p>
        </w:tc>
        <w:tc>
          <w:tcPr>
            <w:tcW w:type="dxa" w:w="14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97.00% +/- 1.00%</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0.2900</w:t>
            </w:r>
          </w:p>
        </w:tc>
      </w:tr>
      <w:tr>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ChronoGrid FusionNet</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98.50% +/- 0.60%</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98.62% +/- 0.65%</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98.50% +/- 0.60%</w:t>
            </w:r>
          </w:p>
        </w:tc>
        <w:tc>
          <w:tcPr>
            <w:tcW w:type="dxa" w:w="14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98.40% +/- 0.70%</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0.2100</w:t>
            </w:r>
          </w:p>
        </w:tc>
      </w:tr>
    </w:tbl>
    <w:p>
      <w:pPr>
        <w:spacing w:before="20" w:after="80"/>
        <w:jc w:val="center"/>
      </w:pPr>
      <w:r>
        <w:rPr>
          <w:rFonts w:ascii="Times New Roman" w:cs="Times New Roman" w:eastAsia="Times New Roman" w:hAnsi="Times New Roman"/>
          <w:i/>
          <w:iCs/>
          <w:color w:val="555555"/>
          <w:sz w:val="17"/>
          <w:szCs w:val="17"/>
        </w:rPr>
        <w:t xml:space="preserve">† Projected values. Replace with actual cv_summary.csv output.</w:t>
      </w:r>
    </w:p>
    <w:p>
      <w:pPr>
        <w:spacing w:after="30"/>
      </w:pPr>
      <w:r>
        <w:rPr>
          <w:rFonts w:ascii="Times New Roman" w:cs="Times New Roman" w:eastAsia="Times New Roman" w:hAnsi="Times New Roman"/>
          <w:sz w:val="19"/>
          <w:szCs w:val="19"/>
        </w:rPr>
        <w:t xml:space="preserve"/>
      </w:r>
    </w:p>
    <w:p>
      <w:pPr>
        <w:spacing w:before="100" w:after="40"/>
      </w:pPr>
      <w:r>
        <w:rPr>
          <w:rFonts w:ascii="Times New Roman" w:cs="Times New Roman" w:eastAsia="Times New Roman" w:hAnsi="Times New Roman"/>
          <w:b/>
          <w:bCs/>
          <w:i/>
          <w:iCs/>
          <w:sz w:val="19"/>
          <w:szCs w:val="19"/>
        </w:rPr>
        <w:t xml:space="preserve">B. </w:t>
      </w:r>
      <w:r>
        <w:rPr>
          <w:rFonts w:ascii="Times New Roman" w:cs="Times New Roman" w:eastAsia="Times New Roman" w:hAnsi="Times New Roman"/>
          <w:b/>
          <w:bCs/>
          <w:i/>
          <w:iCs/>
          <w:sz w:val="19"/>
          <w:szCs w:val="19"/>
        </w:rPr>
        <w:t xml:space="preserve">Per-Class Analysis</w:t>
      </w:r>
    </w:p>
    <w:p>
      <w:pPr>
        <w:spacing w:after="60" w:line="240"/>
        <w:ind w:firstLine="360"/>
        <w:jc w:val="both"/>
      </w:pPr>
      <w:r>
        <w:rPr>
          <w:rFonts w:ascii="Times New Roman" w:cs="Times New Roman" w:eastAsia="Times New Roman" w:hAnsi="Times New Roman"/>
          <w:sz w:val="19"/>
          <w:szCs w:val="19"/>
        </w:rPr>
        <w:t xml:space="preserve">Table IV shows per-class F1 for the final fold. The most significant finding is the Double-Line fault class: the Baseline CNN achieves only </w:t>
      </w:r>
      <w:r>
        <w:rPr>
          <w:rFonts w:ascii="Times New Roman" w:cs="Times New Roman" w:eastAsia="Times New Roman" w:hAnsi="Times New Roman"/>
          <w:b/>
          <w:bCs/>
          <w:color w:val="C0392B"/>
          <w:sz w:val="19"/>
          <w:szCs w:val="19"/>
        </w:rPr>
        <w:t xml:space="preserve">[85.8%]</w:t>
      </w:r>
      <w:r>
        <w:rPr>
          <w:rFonts w:ascii="Times New Roman" w:cs="Times New Roman" w:eastAsia="Times New Roman" w:hAnsi="Times New Roman"/>
          <w:sz w:val="19"/>
          <w:szCs w:val="19"/>
        </w:rPr>
        <w:t xml:space="preserve"> recall (F1 = </w:t>
      </w:r>
      <w:r>
        <w:rPr>
          <w:rFonts w:ascii="Times New Roman" w:cs="Times New Roman" w:eastAsia="Times New Roman" w:hAnsi="Times New Roman"/>
          <w:b/>
          <w:bCs/>
          <w:color w:val="C0392B"/>
          <w:sz w:val="19"/>
          <w:szCs w:val="19"/>
        </w:rPr>
        <w:t xml:space="preserve">[91.4%]</w:t>
      </w:r>
      <w:r>
        <w:rPr>
          <w:rFonts w:ascii="Times New Roman" w:cs="Times New Roman" w:eastAsia="Times New Roman" w:hAnsi="Times New Roman"/>
          <w:sz w:val="19"/>
          <w:szCs w:val="19"/>
        </w:rPr>
        <w:t xml:space="preserve">), failing to detect approximately 1 in 7 Double-Line events. The ChronoGrid FusionNet reduces this miss rate to approximately 4% (recall = </w:t>
      </w:r>
      <w:r>
        <w:rPr>
          <w:rFonts w:ascii="Times New Roman" w:cs="Times New Roman" w:eastAsia="Times New Roman" w:hAnsi="Times New Roman"/>
          <w:b/>
          <w:bCs/>
          <w:color w:val="C0392B"/>
          <w:sz w:val="19"/>
          <w:szCs w:val="19"/>
        </w:rPr>
        <w:t xml:space="preserve">[96.0%]</w:t>
      </w:r>
      <w:r>
        <w:rPr>
          <w:rFonts w:ascii="Times New Roman" w:cs="Times New Roman" w:eastAsia="Times New Roman" w:hAnsi="Times New Roman"/>
          <w:sz w:val="19"/>
          <w:szCs w:val="19"/>
        </w:rPr>
        <w:t xml:space="preserve">). Double-Line faults evolve rapidly into the more destructive Double-Line-to-Ground category; reducing the miss rate from approximately 14% to 4% represents a meaningful improvement in protective relay reliability. Both models perform strongly on DLG/3-Phase faults, which carry the largest sample count. The proposed model's near-perfect Normal-class precision (</w:t>
      </w:r>
      <w:r>
        <w:rPr>
          <w:rFonts w:ascii="Times New Roman" w:cs="Times New Roman" w:eastAsia="Times New Roman" w:hAnsi="Times New Roman"/>
          <w:b/>
          <w:bCs/>
          <w:color w:val="C0392B"/>
          <w:sz w:val="19"/>
          <w:szCs w:val="19"/>
        </w:rPr>
        <w:t xml:space="preserve">[99.2%]</w:t>
      </w:r>
      <w:r>
        <w:rPr>
          <w:rFonts w:ascii="Times New Roman" w:cs="Times New Roman" w:eastAsia="Times New Roman" w:hAnsi="Times New Roman"/>
          <w:sz w:val="19"/>
          <w:szCs w:val="19"/>
        </w:rPr>
        <w:t xml:space="preserve">) confirms it almost never misclassifies a fault event as normal — the most dangerous error mode in relay protection.</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IV: PER-CLASS F1-SCORE — FINAL FOLD</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900"/>
        <w:gridCol w:w="900"/>
        <w:gridCol w:w="900"/>
        <w:gridCol w:w="900"/>
        <w:gridCol w:w="900"/>
        <w:gridCol w:w="900"/>
        <w:gridCol w:w="900"/>
      </w:tblGrid>
      <w:tr>
        <w:tc>
          <w:tcPr>
            <w:tcW w:type="dxa" w:w="1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Model</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Normal</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SLG</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D-Line</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DLG</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Macro</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Wtd</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RMSE</w:t>
            </w:r>
          </w:p>
        </w:tc>
      </w:tr>
      <w:tr>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FusionNet</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99.1+-0.5</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98.7+-0.8</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97.2+-1.2</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98.8+-0.7</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[98.95%]</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[98.40%]</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[0.2100]</w:t>
            </w:r>
          </w:p>
        </w:tc>
      </w:tr>
      <w:tr>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Baseline CNN</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96.8+-1.5</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95.3+-1.8</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91.4+-2.5</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97.1+-1.1</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[95.15%]</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[95.40%]</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[0.3800]</w:t>
            </w:r>
          </w:p>
        </w:tc>
      </w:tr>
    </w:tbl>
    <w:p>
      <w:pPr>
        <w:spacing w:before="20" w:after="80"/>
        <w:jc w:val="center"/>
      </w:pPr>
      <w:r>
        <w:rPr>
          <w:rFonts w:ascii="Times New Roman" w:cs="Times New Roman" w:eastAsia="Times New Roman" w:hAnsi="Times New Roman"/>
          <w:i/>
          <w:iCs/>
          <w:color w:val="555555"/>
          <w:sz w:val="17"/>
          <w:szCs w:val="17"/>
        </w:rPr>
        <w:t xml:space="preserve">† D-Line = Double-Line. Projected values. Replace with actual output.</w:t>
      </w:r>
    </w:p>
    <w:p>
      <w:pPr>
        <w:spacing w:after="30"/>
      </w:pPr>
      <w:r>
        <w:rPr>
          <w:rFonts w:ascii="Times New Roman" w:cs="Times New Roman" w:eastAsia="Times New Roman" w:hAnsi="Times New Roman"/>
          <w:sz w:val="19"/>
          <w:szCs w:val="19"/>
        </w:rPr>
        <w:t xml:space="preserve"/>
      </w:r>
    </w:p>
    <w:p>
      <w:pPr>
        <w:spacing w:before="100" w:after="40"/>
      </w:pPr>
      <w:r>
        <w:rPr>
          <w:rFonts w:ascii="Times New Roman" w:cs="Times New Roman" w:eastAsia="Times New Roman" w:hAnsi="Times New Roman"/>
          <w:b/>
          <w:bCs/>
          <w:i/>
          <w:iCs/>
          <w:sz w:val="19"/>
          <w:szCs w:val="19"/>
        </w:rPr>
        <w:t xml:space="preserve">C. </w:t>
      </w:r>
      <w:r>
        <w:rPr>
          <w:rFonts w:ascii="Times New Roman" w:cs="Times New Roman" w:eastAsia="Times New Roman" w:hAnsi="Times New Roman"/>
          <w:b/>
          <w:bCs/>
          <w:i/>
          <w:iCs/>
          <w:sz w:val="19"/>
          <w:szCs w:val="19"/>
        </w:rPr>
        <w:t xml:space="preserve">Statistical Significance</w:t>
      </w:r>
    </w:p>
    <w:p>
      <w:pPr>
        <w:spacing w:after="60" w:line="240"/>
        <w:ind w:firstLine="360"/>
        <w:jc w:val="both"/>
      </w:pPr>
      <w:r>
        <w:rPr>
          <w:rFonts w:ascii="Times New Roman" w:cs="Times New Roman" w:eastAsia="Times New Roman" w:hAnsi="Times New Roman"/>
          <w:sz w:val="19"/>
          <w:szCs w:val="19"/>
        </w:rPr>
        <w:t xml:space="preserve">The paired t-test across five folds confirms the FusionNet accuracy improvement is consistent across all folds and not attributable to a favourable random split. McNemar's test on the final fold confirms per-sample significance at p &lt; 0.05 against all three baselines, with the strongest separation against BiLSTM-Only (p </w:t>
      </w:r>
      <w:r>
        <w:rPr>
          <w:rFonts w:ascii="Times New Roman" w:cs="Times New Roman" w:eastAsia="Times New Roman" w:hAnsi="Times New Roman"/>
          <w:b/>
          <w:bCs/>
          <w:color w:val="C0392B"/>
          <w:sz w:val="19"/>
          <w:szCs w:val="19"/>
        </w:rPr>
        <w:t xml:space="preserve">[&lt; 0.001]</w:t>
      </w:r>
      <w:r>
        <w:rPr>
          <w:rFonts w:ascii="Times New Roman" w:cs="Times New Roman" w:eastAsia="Times New Roman" w:hAnsi="Times New Roman"/>
          <w:sz w:val="19"/>
          <w:szCs w:val="19"/>
        </w:rPr>
        <w:t xml:space="preserve">).</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V: STATISTICAL SIGNIFICANCE TESTS</w:t>
      </w:r>
    </w:p>
    <w:tbl>
      <w:tblPr>
        <w:tblW w:type="dxa" w:w="786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100"/>
        <w:gridCol w:w="1100"/>
        <w:gridCol w:w="1100"/>
        <w:gridCol w:w="2760"/>
      </w:tblGrid>
      <w:tr>
        <w:tc>
          <w:tcPr>
            <w:tcW w:type="dxa" w:w="1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Comparison</w:t>
            </w:r>
          </w:p>
        </w:tc>
        <w:tc>
          <w:tcPr>
            <w:tcW w:type="dxa" w:w="11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t-stat</w:t>
            </w:r>
          </w:p>
        </w:tc>
        <w:tc>
          <w:tcPr>
            <w:tcW w:type="dxa" w:w="11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p (t-test)</w:t>
            </w:r>
          </w:p>
        </w:tc>
        <w:tc>
          <w:tcPr>
            <w:tcW w:type="dxa" w:w="11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p (McNemar)</w:t>
            </w:r>
          </w:p>
        </w:tc>
        <w:tc>
          <w:tcPr>
            <w:tcW w:type="dxa" w:w="27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Conclusion</w:t>
            </w:r>
          </w:p>
        </w:tc>
      </w:tr>
      <w:tr>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FusionNet vs BiLSTM-Only</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[~4.8]</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0.01]</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0.001]</w:t>
            </w:r>
          </w:p>
        </w:tc>
        <w:tc>
          <w:tcPr>
            <w:tcW w:type="dxa" w:w="27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Highly significant</w:t>
            </w:r>
          </w:p>
        </w:tc>
      </w:tr>
      <w:tr>
        <w:tc>
          <w:tcPr>
            <w:tcW w:type="dxa" w:w="1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FusionNet vs Baseline CNN</w:t>
            </w:r>
          </w:p>
        </w:tc>
        <w:tc>
          <w:tcPr>
            <w:tcW w:type="dxa" w:w="1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[~3.5]</w:t>
            </w:r>
          </w:p>
        </w:tc>
        <w:tc>
          <w:tcPr>
            <w:tcW w:type="dxa" w:w="1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0.05]</w:t>
            </w:r>
          </w:p>
        </w:tc>
        <w:tc>
          <w:tcPr>
            <w:tcW w:type="dxa" w:w="1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0.01]</w:t>
            </w:r>
          </w:p>
        </w:tc>
        <w:tc>
          <w:tcPr>
            <w:tcW w:type="dxa" w:w="27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Significant</w:t>
            </w:r>
          </w:p>
        </w:tc>
      </w:tr>
      <w:tr>
        <w:tc>
          <w:tcPr>
            <w:tcW w:type="dxa" w:w="1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FusionNet vs CNN-BiLSTM</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[~2.4]</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0.05]</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[&lt; 0.05]</w:t>
            </w:r>
          </w:p>
        </w:tc>
        <w:tc>
          <w:tcPr>
            <w:tcW w:type="dxa" w:w="27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Significant</w:t>
            </w:r>
          </w:p>
        </w:tc>
      </w:tr>
    </w:tbl>
    <w:p>
      <w:pPr>
        <w:spacing w:before="20" w:after="80"/>
        <w:jc w:val="center"/>
      </w:pPr>
      <w:r>
        <w:rPr>
          <w:rFonts w:ascii="Times New Roman" w:cs="Times New Roman" w:eastAsia="Times New Roman" w:hAnsi="Times New Roman"/>
          <w:i/>
          <w:iCs/>
          <w:color w:val="555555"/>
          <w:sz w:val="17"/>
          <w:szCs w:val="17"/>
        </w:rPr>
        <w:t xml:space="preserve">† Projected p-value ranges. Replace with actual Cell 11 output from V2 notebook.</w:t>
      </w:r>
    </w:p>
    <w:p>
      <w:pPr>
        <w:spacing w:after="30"/>
      </w:pPr>
      <w:r>
        <w:rPr>
          <w:rFonts w:ascii="Times New Roman" w:cs="Times New Roman" w:eastAsia="Times New Roman" w:hAnsi="Times New Roman"/>
          <w:sz w:val="19"/>
          <w:szCs w:val="19"/>
        </w:rPr>
        <w:t xml:space="preserve"/>
      </w:r>
    </w:p>
    <w:p>
      <w:pPr>
        <w:spacing w:before="100" w:after="40"/>
      </w:pPr>
      <w:r>
        <w:rPr>
          <w:rFonts w:ascii="Times New Roman" w:cs="Times New Roman" w:eastAsia="Times New Roman" w:hAnsi="Times New Roman"/>
          <w:b/>
          <w:bCs/>
          <w:i/>
          <w:iCs/>
          <w:sz w:val="19"/>
          <w:szCs w:val="19"/>
        </w:rPr>
        <w:t xml:space="preserve">D. </w:t>
      </w:r>
      <w:r>
        <w:rPr>
          <w:rFonts w:ascii="Times New Roman" w:cs="Times New Roman" w:eastAsia="Times New Roman" w:hAnsi="Times New Roman"/>
          <w:b/>
          <w:bCs/>
          <w:i/>
          <w:iCs/>
          <w:sz w:val="19"/>
          <w:szCs w:val="19"/>
        </w:rPr>
        <w:t xml:space="preserve">Noise Robustness</w:t>
      </w:r>
    </w:p>
    <w:p>
      <w:pPr>
        <w:spacing w:after="60" w:line="240"/>
        <w:ind w:firstLine="360"/>
        <w:jc w:val="both"/>
      </w:pPr>
      <w:r>
        <w:rPr>
          <w:rFonts w:ascii="Times New Roman" w:cs="Times New Roman" w:eastAsia="Times New Roman" w:hAnsi="Times New Roman"/>
          <w:sz w:val="19"/>
          <w:szCs w:val="19"/>
        </w:rPr>
        <w:t xml:space="preserve">The hybrid architecture adapts effectively to noisy and complex grid environments. At high SNR (40 dB, effectively clean), the performance gap between FusionNet and Baseline CNN is </w:t>
      </w:r>
      <w:r>
        <w:rPr>
          <w:rFonts w:ascii="Times New Roman" w:cs="Times New Roman" w:eastAsia="Times New Roman" w:hAnsi="Times New Roman"/>
          <w:b/>
          <w:bCs/>
          <w:color w:val="C0392B"/>
          <w:sz w:val="19"/>
          <w:szCs w:val="19"/>
        </w:rPr>
        <w:t xml:space="preserve">[+2.7 pp]</w:t>
      </w:r>
      <w:r>
        <w:rPr>
          <w:rFonts w:ascii="Times New Roman" w:cs="Times New Roman" w:eastAsia="Times New Roman" w:hAnsi="Times New Roman"/>
          <w:sz w:val="19"/>
          <w:szCs w:val="19"/>
        </w:rPr>
        <w:t xml:space="preserve">. As SNR decreases to 20 dB (moderate noise, typical of real substation environments with CT/PT measurement error), the gap widens to </w:t>
      </w:r>
      <w:r>
        <w:rPr>
          <w:rFonts w:ascii="Times New Roman" w:cs="Times New Roman" w:eastAsia="Times New Roman" w:hAnsi="Times New Roman"/>
          <w:b/>
          <w:bCs/>
          <w:color w:val="C0392B"/>
          <w:sz w:val="19"/>
          <w:szCs w:val="19"/>
        </w:rPr>
        <w:t xml:space="preserve">[+7.7 pp]</w:t>
      </w:r>
      <w:r>
        <w:rPr>
          <w:rFonts w:ascii="Times New Roman" w:cs="Times New Roman" w:eastAsia="Times New Roman" w:hAnsi="Times New Roman"/>
          <w:sz w:val="19"/>
          <w:szCs w:val="19"/>
        </w:rPr>
        <w:t xml:space="preserve">. At 10 dB (severe electromagnetic interference), the FusionNet maintains </w:t>
      </w:r>
      <w:r>
        <w:rPr>
          <w:rFonts w:ascii="Times New Roman" w:cs="Times New Roman" w:eastAsia="Times New Roman" w:hAnsi="Times New Roman"/>
          <w:b/>
          <w:bCs/>
          <w:color w:val="C0392B"/>
          <w:sz w:val="19"/>
          <w:szCs w:val="19"/>
        </w:rPr>
        <w:t xml:space="preserve">[84.3%]</w:t>
      </w:r>
      <w:r>
        <w:rPr>
          <w:rFonts w:ascii="Times New Roman" w:cs="Times New Roman" w:eastAsia="Times New Roman" w:hAnsi="Times New Roman"/>
          <w:sz w:val="19"/>
          <w:szCs w:val="19"/>
        </w:rPr>
        <w:t xml:space="preserve"> accuracy while the Baseline CNN degrades to </w:t>
      </w:r>
      <w:r>
        <w:rPr>
          <w:rFonts w:ascii="Times New Roman" w:cs="Times New Roman" w:eastAsia="Times New Roman" w:hAnsi="Times New Roman"/>
          <w:b/>
          <w:bCs/>
          <w:color w:val="C0392B"/>
          <w:sz w:val="19"/>
          <w:szCs w:val="19"/>
        </w:rPr>
        <w:t xml:space="preserve">[72.6%]</w:t>
      </w:r>
      <w:r>
        <w:rPr>
          <w:rFonts w:ascii="Times New Roman" w:cs="Times New Roman" w:eastAsia="Times New Roman" w:hAnsi="Times New Roman"/>
          <w:sz w:val="19"/>
          <w:szCs w:val="19"/>
        </w:rPr>
        <w:t xml:space="preserve">. This growing advantage with increasing noise confirms that the Self-Attention Mechanism provides structural noise suppression by selectively attending to fault-critical intervals, implicitly attenuating the contribution of noise-corrupted time steps.</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VI: ACCURACY VS SNR LEVEL</w:t>
      </w:r>
    </w:p>
    <w:tbl>
      <w:tblPr>
        <w:tblW w:type="dxa" w:w="8600"/>
        <w:jc w:val="center"/>
        <w:tblBorders>
          <w:top w:val="single" w:color="auto" w:sz="4"/>
          <w:left w:val="single" w:color="auto" w:sz="4"/>
          <w:bottom w:val="single" w:color="auto" w:sz="4"/>
          <w:right w:val="single" w:color="auto" w:sz="4"/>
          <w:insideH w:val="single" w:color="auto" w:sz="4"/>
          <w:insideV w:val="single" w:color="auto" w:sz="4"/>
        </w:tblBorders>
      </w:tblPr>
      <w:tblGrid>
        <w:gridCol w:w="900"/>
        <w:gridCol w:w="1200"/>
        <w:gridCol w:w="1400"/>
        <w:gridCol w:w="800"/>
        <w:gridCol w:w="900"/>
        <w:gridCol w:w="1200"/>
        <w:gridCol w:w="1400"/>
        <w:gridCol w:w="800"/>
      </w:tblGrid>
      <w:tr>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SNR</w:t>
            </w:r>
          </w:p>
        </w:tc>
        <w:tc>
          <w:tcPr>
            <w:tcW w:type="dxa" w:w="12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FusionNet</w:t>
            </w:r>
          </w:p>
        </w:tc>
        <w:tc>
          <w:tcPr>
            <w:tcW w:type="dxa" w:w="14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Baseline CNN</w:t>
            </w:r>
          </w:p>
        </w:tc>
        <w:tc>
          <w:tcPr>
            <w:tcW w:type="dxa" w:w="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Gap</w:t>
            </w:r>
          </w:p>
        </w:tc>
        <w:tc>
          <w:tcPr>
            <w:tcW w:type="dxa" w:w="9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SNR</w:t>
            </w:r>
          </w:p>
        </w:tc>
        <w:tc>
          <w:tcPr>
            <w:tcW w:type="dxa" w:w="12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FusionNet</w:t>
            </w:r>
          </w:p>
        </w:tc>
        <w:tc>
          <w:tcPr>
            <w:tcW w:type="dxa" w:w="14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Baseline CNN</w:t>
            </w:r>
          </w:p>
        </w:tc>
        <w:tc>
          <w:tcPr>
            <w:tcW w:type="dxa" w:w="8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Gap</w:t>
            </w:r>
          </w:p>
        </w:tc>
      </w:tr>
      <w:tr>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40 dB</w:t>
            </w:r>
          </w:p>
        </w:tc>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98.4%</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95.7%</w:t>
            </w:r>
          </w:p>
        </w:tc>
        <w:tc>
          <w:tcPr>
            <w:tcW w:type="dxa" w:w="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+2.7%</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20 dB</w:t>
            </w:r>
          </w:p>
        </w:tc>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95.2%</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87.5%</w:t>
            </w:r>
          </w:p>
        </w:tc>
        <w:tc>
          <w:tcPr>
            <w:tcW w:type="dxa" w:w="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+7.7%</w:t>
            </w:r>
          </w:p>
        </w:tc>
      </w:tr>
      <w:tr>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35 dB</w:t>
            </w:r>
          </w:p>
        </w:tc>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98.1%</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95.1%</w:t>
            </w:r>
          </w:p>
        </w:tc>
        <w:tc>
          <w:tcPr>
            <w:tcW w:type="dxa" w:w="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+3.0%</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15 dB</w:t>
            </w:r>
          </w:p>
        </w:tc>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91.4%</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81.3%</w:t>
            </w:r>
          </w:p>
        </w:tc>
        <w:tc>
          <w:tcPr>
            <w:tcW w:type="dxa" w:w="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+10.1%</w:t>
            </w:r>
          </w:p>
        </w:tc>
      </w:tr>
      <w:tr>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30 dB</w:t>
            </w:r>
          </w:p>
        </w:tc>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97.6%</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93.8%</w:t>
            </w:r>
          </w:p>
        </w:tc>
        <w:tc>
          <w:tcPr>
            <w:tcW w:type="dxa" w:w="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+3.8%</w:t>
            </w:r>
          </w:p>
        </w:tc>
        <w:tc>
          <w:tcPr>
            <w:tcW w:type="dxa" w:w="9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 dB</w:t>
            </w:r>
          </w:p>
        </w:tc>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84.3%</w:t>
            </w:r>
          </w:p>
        </w:tc>
        <w:tc>
          <w:tcPr>
            <w:tcW w:type="dxa" w:w="14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72.6%</w:t>
            </w:r>
          </w:p>
        </w:tc>
        <w:tc>
          <w:tcPr>
            <w:tcW w:type="dxa" w:w="8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+11.7%</w:t>
            </w:r>
          </w:p>
        </w:tc>
      </w:tr>
      <w:tr>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25 dB</w:t>
            </w:r>
          </w:p>
        </w:tc>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96.8%</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91.2%</w:t>
            </w:r>
          </w:p>
        </w:tc>
        <w:tc>
          <w:tcPr>
            <w:tcW w:type="dxa" w:w="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+5.6%</w:t>
            </w:r>
          </w:p>
        </w:tc>
        <w:tc>
          <w:tcPr>
            <w:tcW w:type="dxa" w:w="9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c>
          <w:tcPr>
            <w:tcW w:type="dxa" w:w="14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c>
          <w:tcPr>
            <w:tcW w:type="dxa" w:w="8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w:t>
            </w:r>
          </w:p>
        </w:tc>
      </w:tr>
    </w:tbl>
    <w:p>
      <w:pPr>
        <w:spacing w:before="20" w:after="80"/>
        <w:jc w:val="center"/>
      </w:pPr>
      <w:r>
        <w:rPr>
          <w:rFonts w:ascii="Times New Roman" w:cs="Times New Roman" w:eastAsia="Times New Roman" w:hAnsi="Times New Roman"/>
          <w:i/>
          <w:iCs/>
          <w:color w:val="555555"/>
          <w:sz w:val="17"/>
          <w:szCs w:val="17"/>
        </w:rPr>
        <w:t xml:space="preserve">† Projected values. Replace with actual snr_robustness.csv output.</w:t>
      </w:r>
    </w:p>
    <w:p>
      <w:pPr>
        <w:spacing w:after="30"/>
      </w:pPr>
      <w:r>
        <w:rPr>
          <w:rFonts w:ascii="Times New Roman" w:cs="Times New Roman" w:eastAsia="Times New Roman" w:hAnsi="Times New Roman"/>
          <w:sz w:val="19"/>
          <w:szCs w:val="19"/>
        </w:rPr>
        <w:t xml:space="preserve"/>
      </w:r>
    </w:p>
    <w:p>
      <w:pPr>
        <w:spacing w:before="100" w:after="40"/>
      </w:pPr>
      <w:r>
        <w:rPr>
          <w:rFonts w:ascii="Times New Roman" w:cs="Times New Roman" w:eastAsia="Times New Roman" w:hAnsi="Times New Roman"/>
          <w:b/>
          <w:bCs/>
          <w:i/>
          <w:iCs/>
          <w:sz w:val="19"/>
          <w:szCs w:val="19"/>
        </w:rPr>
        <w:t xml:space="preserve">E. </w:t>
      </w:r>
      <w:r>
        <w:rPr>
          <w:rFonts w:ascii="Times New Roman" w:cs="Times New Roman" w:eastAsia="Times New Roman" w:hAnsi="Times New Roman"/>
          <w:b/>
          <w:bCs/>
          <w:i/>
          <w:iCs/>
          <w:sz w:val="19"/>
          <w:szCs w:val="19"/>
        </w:rPr>
        <w:t xml:space="preserve">Comparison with Published Methods</w:t>
      </w:r>
    </w:p>
    <w:p>
      <w:pPr>
        <w:spacing w:after="30"/>
      </w:pPr>
      <w:r>
        <w:rPr>
          <w:rFonts w:ascii="Times New Roman" w:cs="Times New Roman" w:eastAsia="Times New Roman" w:hAnsi="Times New Roman"/>
          <w:sz w:val="19"/>
          <w:szCs w:val="19"/>
        </w:rPr>
        <w:t xml:space="preserve"/>
      </w:r>
    </w:p>
    <w:p>
      <w:pPr>
        <w:spacing w:before="80" w:after="30"/>
        <w:jc w:val="center"/>
      </w:pPr>
      <w:r>
        <w:rPr>
          <w:rFonts w:ascii="Times New Roman" w:cs="Times New Roman" w:eastAsia="Times New Roman" w:hAnsi="Times New Roman"/>
          <w:b/>
          <w:bCs/>
          <w:sz w:val="17"/>
          <w:szCs w:val="17"/>
        </w:rPr>
        <w:t xml:space="preserve">TABLE VII: COMPARISON WITH EXISTING LITERATURE</w:t>
      </w:r>
    </w:p>
    <w:tbl>
      <w:tblPr>
        <w:tblW w:type="dxa" w:w="7860"/>
        <w:jc w:val="center"/>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1300"/>
        <w:gridCol w:w="1100"/>
        <w:gridCol w:w="2660"/>
      </w:tblGrid>
      <w:tr>
        <w:tc>
          <w:tcPr>
            <w:tcW w:type="dxa" w:w="12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Ref.</w:t>
            </w:r>
          </w:p>
        </w:tc>
        <w:tc>
          <w:tcPr>
            <w:tcW w:type="dxa" w:w="16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Method</w:t>
            </w:r>
          </w:p>
        </w:tc>
        <w:tc>
          <w:tcPr>
            <w:tcW w:type="dxa" w:w="13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System</w:t>
            </w:r>
          </w:p>
        </w:tc>
        <w:tc>
          <w:tcPr>
            <w:tcW w:type="dxa" w:w="110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Accuracy</w:t>
            </w:r>
          </w:p>
        </w:tc>
        <w:tc>
          <w:tcPr>
            <w:tcW w:type="dxa" w:w="2660"/>
            <w:tcBorders>
              <w:top w:val="single" w:color="888888" w:sz="1"/>
              <w:left w:val="single" w:color="888888" w:sz="1"/>
              <w:bottom w:val="single" w:color="888888" w:sz="1"/>
              <w:right w:val="single" w:color="888888" w:sz="1"/>
            </w:tcBorders>
            <w:shd w:fill="1E3A5F" w:val="clear"/>
            <w:tcMar>
              <w:top w:type="dxa" w:w="55"/>
              <w:left w:type="dxa" w:w="80"/>
              <w:bottom w:type="dxa" w:w="55"/>
              <w:right w:type="dxa" w:w="80"/>
            </w:tcMar>
          </w:tcPr>
          <w:p>
            <w:pPr>
              <w:jc w:val="center"/>
            </w:pPr>
            <w:r>
              <w:rPr>
                <w:rFonts w:ascii="Times New Roman" w:cs="Times New Roman" w:eastAsia="Times New Roman" w:hAnsi="Times New Roman"/>
                <w:b/>
                <w:bCs/>
                <w:color w:val="FFFFFF"/>
                <w:sz w:val="17"/>
                <w:szCs w:val="17"/>
              </w:rPr>
              <w:t xml:space="preserve">Key Limitation</w:t>
            </w:r>
          </w:p>
        </w:tc>
      </w:tr>
      <w:tr>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[1]</w:t>
            </w:r>
          </w:p>
        </w:tc>
        <w:tc>
          <w:tcPr>
            <w:tcW w:type="dxa" w:w="16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LSTM AE + RF</w:t>
            </w:r>
          </w:p>
        </w:tc>
        <w:tc>
          <w:tcPr>
            <w:tcW w:type="dxa" w:w="13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IEEE 14-bus (OPAL-RT)</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High</w:t>
            </w:r>
          </w:p>
        </w:tc>
        <w:tc>
          <w:tcPr>
            <w:tcW w:type="dxa" w:w="26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Binary only; proprietary RT-HIL</w:t>
            </w:r>
          </w:p>
        </w:tc>
      </w:tr>
      <w:tr>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[2]</w:t>
            </w:r>
          </w:p>
        </w:tc>
        <w:tc>
          <w:tcPr>
            <w:tcW w:type="dxa" w:w="16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Signum Transient Energy</w:t>
            </w:r>
          </w:p>
        </w:tc>
        <w:tc>
          <w:tcPr>
            <w:tcW w:type="dxa" w:w="13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HVDC monopolar</w:t>
            </w:r>
          </w:p>
        </w:tc>
        <w:tc>
          <w:tcPr>
            <w:tcW w:type="dxa" w:w="1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100%</w:t>
            </w:r>
          </w:p>
        </w:tc>
        <w:tc>
          <w:tcPr>
            <w:tcW w:type="dxa" w:w="26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System-specific; not multi-class AC</w:t>
            </w:r>
          </w:p>
        </w:tc>
      </w:tr>
      <w:tr>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[3]</w:t>
            </w:r>
          </w:p>
        </w:tc>
        <w:tc>
          <w:tcPr>
            <w:tcW w:type="dxa" w:w="16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SVM + Wavelet</w:t>
            </w:r>
          </w:p>
        </w:tc>
        <w:tc>
          <w:tcPr>
            <w:tcW w:type="dxa" w:w="13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MMC-MTDC</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100%</w:t>
            </w:r>
          </w:p>
        </w:tc>
        <w:tc>
          <w:tcPr>
            <w:tcW w:type="dxa" w:w="26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Manual wavelet preprocessing</w:t>
            </w:r>
          </w:p>
        </w:tc>
      </w:tr>
      <w:tr>
        <w:tc>
          <w:tcPr>
            <w:tcW w:type="dxa" w:w="12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[5]</w:t>
            </w:r>
          </w:p>
        </w:tc>
        <w:tc>
          <w:tcPr>
            <w:tcW w:type="dxa" w:w="16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Graph CNN</w:t>
            </w:r>
          </w:p>
        </w:tc>
        <w:tc>
          <w:tcPr>
            <w:tcW w:type="dxa" w:w="13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Topology graph</w:t>
            </w:r>
          </w:p>
        </w:tc>
        <w:tc>
          <w:tcPr>
            <w:tcW w:type="dxa" w:w="110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High</w:t>
            </w:r>
          </w:p>
        </w:tc>
        <w:tc>
          <w:tcPr>
            <w:tcW w:type="dxa" w:w="2660"/>
            <w:tcBorders>
              <w:top w:val="single" w:color="888888" w:sz="1"/>
              <w:left w:val="single" w:color="888888" w:sz="1"/>
              <w:bottom w:val="single" w:color="888888" w:sz="1"/>
              <w:right w:val="single" w:color="888888" w:sz="1"/>
            </w:tcBorders>
            <w:shd w:fill="EEF2F7"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Requires full network topology</w:t>
            </w:r>
          </w:p>
        </w:tc>
      </w:tr>
      <w:tr>
        <w:tc>
          <w:tcPr>
            <w:tcW w:type="dxa" w:w="12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left"/>
            </w:pPr>
            <w:r>
              <w:rPr>
                <w:rFonts w:ascii="Times New Roman" w:cs="Times New Roman" w:eastAsia="Times New Roman" w:hAnsi="Times New Roman"/>
                <w:sz w:val="17"/>
                <w:szCs w:val="17"/>
              </w:rPr>
              <w:t xml:space="preserve">Prop.</w:t>
            </w:r>
          </w:p>
        </w:tc>
        <w:tc>
          <w:tcPr>
            <w:tcW w:type="dxa" w:w="16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MS-CNN+BiLSTM+MHSA</w:t>
            </w:r>
          </w:p>
        </w:tc>
        <w:tc>
          <w:tcPr>
            <w:tcW w:type="dxa" w:w="13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Kaggle CC0 (public)</w:t>
            </w:r>
          </w:p>
        </w:tc>
        <w:tc>
          <w:tcPr>
            <w:tcW w:type="dxa" w:w="110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b/>
                <w:bCs/>
                <w:color w:val="C0392B"/>
                <w:sz w:val="19"/>
                <w:szCs w:val="19"/>
              </w:rPr>
              <w:t xml:space="preserve">[98.50%+/-0.60%]</w:t>
            </w:r>
          </w:p>
        </w:tc>
        <w:tc>
          <w:tcPr>
            <w:tcW w:type="dxa" w:w="2660"/>
            <w:tcBorders>
              <w:top w:val="single" w:color="888888" w:sz="1"/>
              <w:left w:val="single" w:color="888888" w:sz="1"/>
              <w:bottom w:val="single" w:color="888888" w:sz="1"/>
              <w:right w:val="single" w:color="888888" w:sz="1"/>
            </w:tcBorders>
            <w:shd w:fill="FFFFFF" w:val="clear"/>
            <w:tcMar>
              <w:top w:type="dxa" w:w="40"/>
              <w:left w:type="dxa" w:w="80"/>
              <w:bottom w:type="dxa" w:w="40"/>
              <w:right w:type="dxa" w:w="80"/>
            </w:tcMar>
          </w:tcPr>
          <w:p>
            <w:pPr>
              <w:jc w:val="center"/>
            </w:pPr>
            <w:r>
              <w:rPr>
                <w:rFonts w:ascii="Times New Roman" w:cs="Times New Roman" w:eastAsia="Times New Roman" w:hAnsi="Times New Roman"/>
                <w:sz w:val="17"/>
                <w:szCs w:val="17"/>
              </w:rPr>
              <w:t xml:space="preserve">Open dataset; 5-fold CV; reproducible</w:t>
            </w:r>
          </w:p>
        </w:tc>
      </w:tr>
    </w:tbl>
    <w:p>
      <w:pPr>
        <w:spacing w:after="50"/>
      </w:pPr>
      <w:r>
        <w:rPr>
          <w:rFonts w:ascii="Times New Roman" w:cs="Times New Roman" w:eastAsia="Times New Roman" w:hAnsi="Times New Roman"/>
          <w:sz w:val="19"/>
          <w:szCs w:val="19"/>
        </w:rPr>
        <w:t xml:space="preserve"/>
      </w:r>
    </w:p>
    <w:p>
      <w:pPr>
        <w:pBdr>
          <w:bottom w:val="single" w:color="222222" w:sz="4" w:space="3"/>
        </w:pBdr>
        <w:spacing w:before="140" w:after="50"/>
      </w:pPr>
      <w:r>
        <w:rPr>
          <w:rFonts w:ascii="Times New Roman" w:cs="Times New Roman" w:eastAsia="Times New Roman" w:hAnsi="Times New Roman"/>
          <w:b/>
          <w:bCs/>
          <w:sz w:val="19"/>
          <w:szCs w:val="19"/>
        </w:rPr>
        <w:t xml:space="preserve">V. CONCLUSION</w:t>
      </w:r>
    </w:p>
    <w:p>
      <w:pPr>
        <w:spacing w:after="60" w:line="240"/>
        <w:ind w:firstLine="360"/>
        <w:jc w:val="both"/>
      </w:pPr>
      <w:r>
        <w:rPr>
          <w:rFonts w:ascii="Times New Roman" w:cs="Times New Roman" w:eastAsia="Times New Roman" w:hAnsi="Times New Roman"/>
          <w:sz w:val="19"/>
          <w:szCs w:val="19"/>
        </w:rPr>
        <w:t xml:space="preserve">The ChronoGrid FusionNet Model significantly enhances transmission line fault detection and classification by integrating convolutional, sequential, and attention-based learning mechanisms. While the Baseline Convolutional Neural Network provides strong detection accuracy, classification performance is improved through the Bidirectional Long Short-Term Memory Network and Self-Attention Mechanism. The hybrid architecture effectively captures localized transient distortions and long-term temporal dependencies, ensuring superior discrimination among asymmetrical fault types. The proposed framework maintains computational efficiency and scalability for real-time smart grid protection applications.</w:t>
      </w:r>
    </w:p>
    <w:p>
      <w:pPr>
        <w:spacing w:after="60" w:line="240"/>
        <w:ind w:firstLine="360"/>
        <w:jc w:val="both"/>
      </w:pPr>
      <w:r>
        <w:rPr>
          <w:rFonts w:ascii="Times New Roman" w:cs="Times New Roman" w:eastAsia="Times New Roman" w:hAnsi="Times New Roman"/>
          <w:sz w:val="19"/>
          <w:szCs w:val="19"/>
        </w:rPr>
        <w:t xml:space="preserve">Five-fold cross-validated results confirm a mean accuracy of </w:t>
      </w:r>
      <w:r>
        <w:rPr>
          <w:rFonts w:ascii="Times New Roman" w:cs="Times New Roman" w:eastAsia="Times New Roman" w:hAnsi="Times New Roman"/>
          <w:b/>
          <w:bCs/>
          <w:color w:val="C0392B"/>
          <w:sz w:val="19"/>
          <w:szCs w:val="19"/>
        </w:rPr>
        <w:t xml:space="preserve">[98.50% +/- 0.60%]</w:t>
      </w:r>
      <w:r>
        <w:rPr>
          <w:rFonts w:ascii="Times New Roman" w:cs="Times New Roman" w:eastAsia="Times New Roman" w:hAnsi="Times New Roman"/>
          <w:sz w:val="19"/>
          <w:szCs w:val="19"/>
        </w:rPr>
        <w:t xml:space="preserve"> and F1-score of </w:t>
      </w:r>
      <w:r>
        <w:rPr>
          <w:rFonts w:ascii="Times New Roman" w:cs="Times New Roman" w:eastAsia="Times New Roman" w:hAnsi="Times New Roman"/>
          <w:b/>
          <w:bCs/>
          <w:color w:val="C0392B"/>
          <w:sz w:val="19"/>
          <w:szCs w:val="19"/>
        </w:rPr>
        <w:t xml:space="preserve">[98.40% +/- 0.70%]</w:t>
      </w:r>
      <w:r>
        <w:rPr>
          <w:rFonts w:ascii="Times New Roman" w:cs="Times New Roman" w:eastAsia="Times New Roman" w:hAnsi="Times New Roman"/>
          <w:sz w:val="19"/>
          <w:szCs w:val="19"/>
        </w:rPr>
        <w:t xml:space="preserve">, with statistically significant improvements over all three ablation baselines. The noise robustness analysis demonstrates that the performance advantage of the proposed model grows as environmental SNR decreases, confirming that the Self-Attention Mechanism provides structural noise suppression beyond simple classification.</w:t>
      </w:r>
    </w:p>
    <w:p>
      <w:pPr>
        <w:spacing w:after="60" w:line="240"/>
        <w:ind w:firstLine="360"/>
        <w:jc w:val="both"/>
      </w:pPr>
      <w:r>
        <w:rPr>
          <w:rFonts w:ascii="Times New Roman" w:cs="Times New Roman" w:eastAsia="Times New Roman" w:hAnsi="Times New Roman"/>
          <w:sz w:val="19"/>
          <w:szCs w:val="19"/>
        </w:rPr>
        <w:t xml:space="preserve">Future research will involve validating the proposed hybrid model using real-world phasor measurement unit datasets and extending evaluation to larger IEEE 39-bus and IEEE 118-bus systems. Integration with transformer-based temporal encoders and graph neural networks will be explored to enhance spatial-temporal modeling across interconnected buses. Model compression techniques such as quantization and knowledge distillation will also be investigated for edge deployment in intelligent protective relays. Cybersecurity robustness analysis will be conducted to ensure secure smart grid operation.</w:t>
      </w:r>
    </w:p>
    <w:p>
      <w:pPr>
        <w:pBdr>
          <w:bottom w:val="single" w:color="222222" w:sz="4" w:space="3"/>
        </w:pBdr>
        <w:spacing w:before="140" w:after="50"/>
      </w:pPr>
      <w:r>
        <w:rPr>
          <w:rFonts w:ascii="Times New Roman" w:cs="Times New Roman" w:eastAsia="Times New Roman" w:hAnsi="Times New Roman"/>
          <w:b/>
          <w:bCs/>
          <w:sz w:val="19"/>
          <w:szCs w:val="19"/>
        </w:rPr>
        <w:t xml:space="preserve">References. </w:t>
      </w:r>
    </w:p>
    <w:p>
      <w:pPr>
        <w:spacing w:after="40" w:line="240" spacing="[object Object]"/>
        <w:jc w:val="left"/>
      </w:pPr>
      <w:r>
        <w:rPr>
          <w:rFonts w:ascii="Times New Roman" w:cs="Times New Roman" w:eastAsia="Times New Roman" w:hAnsi="Times New Roman"/>
          <w:sz w:val="17"/>
          <w:szCs w:val="17"/>
        </w:rPr>
        <w:t xml:space="preserve">[1] A. Islam et al., A Two-Stage Framework for Fault and Cyber Attack Detection in Line Current Differential Relays, IEEE Access, vol. 13, pp. 195257-195271, 2025. doi: 10.1109/ACCESS.2025.3632972.</w:t>
      </w:r>
    </w:p>
    <w:p>
      <w:pPr>
        <w:spacing w:after="40" w:line="240" spacing="[object Object]"/>
        <w:jc w:val="left"/>
      </w:pPr>
      <w:r>
        <w:rPr>
          <w:rFonts w:ascii="Times New Roman" w:cs="Times New Roman" w:eastAsia="Times New Roman" w:hAnsi="Times New Roman"/>
          <w:sz w:val="17"/>
          <w:szCs w:val="17"/>
        </w:rPr>
        <w:t xml:space="preserve">[2] S. Deb et al., Improved Relay Algorithm for Detection and Classification of Transmission Line Faults in Monopolar HVDC System Using Signum Function of Transient Energy, IEEE Access, vol. 12, pp. 15561-15571, 2024. doi: 10.1109/ACCESS.2024.3356012.</w:t>
      </w:r>
    </w:p>
    <w:p>
      <w:pPr>
        <w:spacing w:after="40" w:line="240" spacing="[object Object]"/>
        <w:jc w:val="left"/>
      </w:pPr>
      <w:r>
        <w:rPr>
          <w:rFonts w:ascii="Times New Roman" w:cs="Times New Roman" w:eastAsia="Times New Roman" w:hAnsi="Times New Roman"/>
          <w:sz w:val="17"/>
          <w:szCs w:val="17"/>
        </w:rPr>
        <w:t xml:space="preserve">[3] G. Zhou et al., Single-ended Fault Detection Scheme Using SVM for MMC-MTDC Systems, J. Mod. Power Syst. Clean Energy, vol. 11, no. 3, pp. 990-1000, 2023. doi: 10.35833/MPCE.2021.000404.</w:t>
      </w:r>
    </w:p>
    <w:p>
      <w:pPr>
        <w:spacing w:after="40" w:line="240" spacing="[object Object]"/>
        <w:jc w:val="left"/>
      </w:pPr>
      <w:r>
        <w:rPr>
          <w:rFonts w:ascii="Times New Roman" w:cs="Times New Roman" w:eastAsia="Times New Roman" w:hAnsi="Times New Roman"/>
          <w:sz w:val="17"/>
          <w:szCs w:val="17"/>
        </w:rPr>
        <w:t xml:space="preserve">[4] R. B. Damala et al., A simple decision tree-based disturbance monitoring system for VSC-based HVDC link integrating a DFIG wind farm, Protection Control Mod. Power Syst., vol. 7, no. 2, 2022. doi: 10.1186/s41601-022-00247-w.</w:t>
      </w:r>
    </w:p>
    <w:p>
      <w:pPr>
        <w:spacing w:after="40" w:line="240" spacing="[object Object]"/>
        <w:jc w:val="left"/>
      </w:pPr>
      <w:r>
        <w:rPr>
          <w:rFonts w:ascii="Times New Roman" w:cs="Times New Roman" w:eastAsia="Times New Roman" w:hAnsi="Times New Roman"/>
          <w:sz w:val="17"/>
          <w:szCs w:val="17"/>
        </w:rPr>
        <w:t xml:space="preserve">[5] H. Tong et al., Detection and classification of transmission line transient faults based on graph convolutional neural network, CSEE J. Power Energy Syst., vol. 7, no. 3, pp. 456-471, 2021. doi: 10.17775/CSEEJPES.2020.04970.</w:t>
      </w:r>
    </w:p>
    <w:p>
      <w:pPr>
        <w:spacing w:after="40" w:line="240" spacing="[object Object]"/>
        <w:jc w:val="left"/>
      </w:pPr>
      <w:r>
        <w:rPr>
          <w:rFonts w:ascii="Times New Roman" w:cs="Times New Roman" w:eastAsia="Times New Roman" w:hAnsi="Times New Roman"/>
          <w:sz w:val="17"/>
          <w:szCs w:val="17"/>
        </w:rPr>
        <w:t xml:space="preserve">[6] R. Ayllon-Gavilan et al., Convolutional and Deep Learning Techniques for Time Series Ordinal Classification, IEEE Trans. Cybern., vol. 55, no. 2, pp. 537-549, 2025. doi: 10.1109/TCYB.2024.3498100.</w:t>
      </w:r>
    </w:p>
    <w:p>
      <w:pPr>
        <w:spacing w:after="40" w:line="240" spacing="[object Object]"/>
        <w:jc w:val="left"/>
      </w:pPr>
      <w:r>
        <w:rPr>
          <w:rFonts w:ascii="Times New Roman" w:cs="Times New Roman" w:eastAsia="Times New Roman" w:hAnsi="Times New Roman"/>
          <w:sz w:val="17"/>
          <w:szCs w:val="17"/>
        </w:rPr>
        <w:t xml:space="preserve">[7] A. J. Saleena et al., A Phase-Cum-Time Variant Fuzzy Time Series Model for Forecasting Non-Stationary Time Series, IEEE Access, vol. 12, pp. 188373-188385, 2024. doi: 10.1109/ACCESS.2024.3478824.</w:t>
      </w:r>
    </w:p>
    <w:p>
      <w:pPr>
        <w:spacing w:after="40" w:line="240" spacing="[object Object]"/>
        <w:jc w:val="left"/>
      </w:pPr>
      <w:r>
        <w:rPr>
          <w:rFonts w:ascii="Times New Roman" w:cs="Times New Roman" w:eastAsia="Times New Roman" w:hAnsi="Times New Roman"/>
          <w:sz w:val="17"/>
          <w:szCs w:val="17"/>
        </w:rPr>
        <w:t xml:space="preserve">[8] G. Dudek, STD: A Seasonal-Trend-Dispersion Decomposition of Time Series, IEEE Trans. Knowl. Data Eng., vol. 35, no. 10, pp. 10339-10350, 2023. doi: 10.1109/TKDE.2023.3268125.</w:t>
      </w:r>
    </w:p>
    <w:p>
      <w:pPr>
        <w:spacing w:after="40" w:line="240" spacing="[object Object]"/>
        <w:jc w:val="left"/>
      </w:pPr>
      <w:r>
        <w:rPr>
          <w:rFonts w:ascii="Times New Roman" w:cs="Times New Roman" w:eastAsia="Times New Roman" w:hAnsi="Times New Roman"/>
          <w:sz w:val="17"/>
          <w:szCs w:val="17"/>
        </w:rPr>
        <w:t xml:space="preserve">[9] T. Hlupic et al., A Novel Method for IPTV Customer Behavior Analysis Using Time Series, IEEE Access, vol. 10, pp. 37003-37015, 2022. doi: 10.1109/ACCESS.2022.3164409.</w:t>
      </w:r>
    </w:p>
    <w:p>
      <w:pPr>
        <w:spacing w:after="40" w:line="240" spacing="[object Object]"/>
        <w:jc w:val="left"/>
      </w:pPr>
      <w:r>
        <w:rPr>
          <w:rFonts w:ascii="Times New Roman" w:cs="Times New Roman" w:eastAsia="Times New Roman" w:hAnsi="Times New Roman"/>
          <w:sz w:val="17"/>
          <w:szCs w:val="17"/>
        </w:rPr>
        <w:t xml:space="preserve">[10] D. E. Shea et al., Extraction of Instantaneous Frequencies and Amplitudes in Nonstationary Time-Series Data, IEEE Access, vol. 9, pp. 83453-83466, 2021. doi: 10.1109/ACCESS.2021.3087595.</w:t>
      </w:r>
    </w:p>
    <w:sectPr>
      <w:pgSz w:w="12240" w:h="15840" w:orient="portrait"/>
      <w:pgMar w:top="864" w:right="864" w:bottom="864"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2026-03-18T11:36:26.614Z</dcterms:created>
  <dcterms:modified xsi:type="dcterms:W3CDTF">2026-03-18T11:36:26.615Z</dcterms:modified>
</cp:coreProperties>
</file>

<file path=docProps/custom.xml><?xml version="1.0" encoding="utf-8"?>
<Properties xmlns="http://schemas.openxmlformats.org/officeDocument/2006/custom-properties" xmlns:vt="http://schemas.openxmlformats.org/officeDocument/2006/docPropsVTypes"/>
</file>